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D4" w:rsidRPr="000F6C9C" w:rsidRDefault="00587424" w:rsidP="00645F56">
      <w:pPr>
        <w:pStyle w:val="30"/>
        <w:shd w:val="clear" w:color="auto" w:fill="auto"/>
        <w:spacing w:line="240" w:lineRule="auto"/>
        <w:jc w:val="center"/>
        <w:rPr>
          <w:color w:val="000000" w:themeColor="text1"/>
        </w:rPr>
      </w:pPr>
      <w:r w:rsidRPr="00AC046F">
        <w:rPr>
          <w:color w:val="000000" w:themeColor="text1"/>
        </w:rPr>
        <w:t>Отчет о результатах о</w:t>
      </w:r>
      <w:r w:rsidR="00F16E8D" w:rsidRPr="00AC046F">
        <w:rPr>
          <w:color w:val="000000" w:themeColor="text1"/>
        </w:rPr>
        <w:t>ценк</w:t>
      </w:r>
      <w:r w:rsidRPr="00AC046F">
        <w:rPr>
          <w:color w:val="000000" w:themeColor="text1"/>
        </w:rPr>
        <w:t>и</w:t>
      </w:r>
      <w:r w:rsidR="00F16E8D" w:rsidRPr="00AC046F">
        <w:rPr>
          <w:color w:val="000000" w:themeColor="text1"/>
        </w:rPr>
        <w:t xml:space="preserve"> эффекти</w:t>
      </w:r>
      <w:r w:rsidR="00F16E8D" w:rsidRPr="000F6C9C">
        <w:rPr>
          <w:color w:val="000000" w:themeColor="text1"/>
        </w:rPr>
        <w:t xml:space="preserve">вности </w:t>
      </w:r>
      <w:r w:rsidR="00237C49" w:rsidRPr="000F6C9C">
        <w:rPr>
          <w:color w:val="000000" w:themeColor="text1"/>
        </w:rPr>
        <w:t xml:space="preserve">налоговых расходов </w:t>
      </w:r>
      <w:r w:rsidR="00BC11B2" w:rsidRPr="000F6C9C">
        <w:rPr>
          <w:color w:val="000000" w:themeColor="text1"/>
        </w:rPr>
        <w:t xml:space="preserve">по </w:t>
      </w:r>
      <w:r w:rsidR="009E174B" w:rsidRPr="000F6C9C">
        <w:rPr>
          <w:color w:val="000000" w:themeColor="text1"/>
        </w:rPr>
        <w:t>местным налогам</w:t>
      </w:r>
      <w:r w:rsidR="00F16E8D" w:rsidRPr="000F6C9C">
        <w:rPr>
          <w:color w:val="000000" w:themeColor="text1"/>
        </w:rPr>
        <w:t xml:space="preserve"> за 20</w:t>
      </w:r>
      <w:r w:rsidR="008A6542">
        <w:rPr>
          <w:color w:val="000000" w:themeColor="text1"/>
        </w:rPr>
        <w:t>2</w:t>
      </w:r>
      <w:r w:rsidR="00491402">
        <w:rPr>
          <w:color w:val="000000" w:themeColor="text1"/>
        </w:rPr>
        <w:t>2</w:t>
      </w:r>
      <w:r w:rsidR="00F16E8D" w:rsidRPr="000F6C9C">
        <w:rPr>
          <w:color w:val="000000" w:themeColor="text1"/>
        </w:rPr>
        <w:t xml:space="preserve"> </w:t>
      </w:r>
      <w:r w:rsidR="00997E5F" w:rsidRPr="000F6C9C">
        <w:rPr>
          <w:color w:val="000000" w:themeColor="text1"/>
        </w:rPr>
        <w:t xml:space="preserve">год </w:t>
      </w:r>
      <w:r w:rsidR="00997E5F">
        <w:rPr>
          <w:color w:val="000000" w:themeColor="text1"/>
        </w:rPr>
        <w:t xml:space="preserve">Ягодно-Полянского муниципального образования </w:t>
      </w:r>
      <w:r w:rsidR="00997E5F" w:rsidRPr="000F6C9C">
        <w:rPr>
          <w:color w:val="000000" w:themeColor="text1"/>
        </w:rPr>
        <w:t>Татищевского</w:t>
      </w:r>
      <w:r w:rsidR="00946716">
        <w:rPr>
          <w:color w:val="000000" w:themeColor="text1"/>
        </w:rPr>
        <w:t xml:space="preserve"> муниципального</w:t>
      </w:r>
      <w:r w:rsidR="00645F56">
        <w:rPr>
          <w:color w:val="000000" w:themeColor="text1"/>
        </w:rPr>
        <w:t xml:space="preserve"> район</w:t>
      </w:r>
      <w:r w:rsidR="00946716">
        <w:rPr>
          <w:color w:val="000000" w:themeColor="text1"/>
        </w:rPr>
        <w:t>а</w:t>
      </w:r>
      <w:r w:rsidR="00237C49" w:rsidRPr="000F6C9C">
        <w:rPr>
          <w:color w:val="000000" w:themeColor="text1"/>
        </w:rPr>
        <w:t xml:space="preserve"> Саратовской области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0F6C9C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>в соответствии с основными положениями постановления Правительства Российской Федерации от 22 июня 2019 года</w:t>
      </w:r>
      <w:r w:rsidR="00946716">
        <w:rPr>
          <w:rStyle w:val="FontStyle38"/>
          <w:color w:val="auto"/>
          <w:sz w:val="28"/>
          <w:szCs w:val="28"/>
        </w:rPr>
        <w:t xml:space="preserve"> </w:t>
      </w:r>
      <w:r w:rsidR="00167627" w:rsidRPr="000F6C9C">
        <w:rPr>
          <w:rStyle w:val="FontStyle38"/>
          <w:color w:val="auto"/>
          <w:sz w:val="28"/>
          <w:szCs w:val="28"/>
        </w:rPr>
        <w:t xml:space="preserve">№ 796 «Об общих требованиях к оценке налоговых расходов субъектов Российской Федерации и муниципальных образований» и </w:t>
      </w:r>
      <w:r w:rsidR="00237C49" w:rsidRPr="000F6C9C">
        <w:rPr>
          <w:bCs/>
        </w:rPr>
        <w:t xml:space="preserve">постановления </w:t>
      </w:r>
      <w:r w:rsidR="00237C49" w:rsidRPr="00997E5F">
        <w:rPr>
          <w:bCs/>
          <w:color w:val="auto"/>
        </w:rPr>
        <w:t>администрации</w:t>
      </w:r>
      <w:r w:rsidR="00997E5F" w:rsidRPr="00997E5F">
        <w:rPr>
          <w:bCs/>
          <w:color w:val="auto"/>
        </w:rPr>
        <w:t xml:space="preserve"> Ягодно-Полянского муниципального образования</w:t>
      </w:r>
      <w:r w:rsidR="00237C49" w:rsidRPr="00997E5F">
        <w:rPr>
          <w:bCs/>
          <w:color w:val="auto"/>
        </w:rPr>
        <w:t xml:space="preserve"> </w:t>
      </w:r>
      <w:r w:rsidR="00946716" w:rsidRPr="00997E5F">
        <w:rPr>
          <w:bCs/>
          <w:color w:val="auto"/>
        </w:rPr>
        <w:t>Татищевского</w:t>
      </w:r>
      <w:r w:rsidR="00237C49" w:rsidRPr="00997E5F">
        <w:rPr>
          <w:bCs/>
          <w:color w:val="auto"/>
        </w:rPr>
        <w:t xml:space="preserve"> муниципального района</w:t>
      </w:r>
      <w:r w:rsidR="00997E5F" w:rsidRPr="00997E5F">
        <w:rPr>
          <w:bCs/>
          <w:color w:val="auto"/>
        </w:rPr>
        <w:t xml:space="preserve"> Саратовской области</w:t>
      </w:r>
      <w:r w:rsidR="00237C49" w:rsidRPr="00997E5F">
        <w:rPr>
          <w:bCs/>
          <w:color w:val="auto"/>
        </w:rPr>
        <w:t xml:space="preserve"> от </w:t>
      </w:r>
      <w:r w:rsidR="00997E5F" w:rsidRPr="00997E5F">
        <w:rPr>
          <w:bCs/>
          <w:color w:val="auto"/>
        </w:rPr>
        <w:t>21</w:t>
      </w:r>
      <w:r w:rsidR="00946716" w:rsidRPr="00997E5F">
        <w:rPr>
          <w:bCs/>
          <w:color w:val="auto"/>
        </w:rPr>
        <w:t xml:space="preserve"> </w:t>
      </w:r>
      <w:r w:rsidR="00997E5F" w:rsidRPr="00997E5F">
        <w:rPr>
          <w:bCs/>
          <w:color w:val="auto"/>
        </w:rPr>
        <w:t>апрел</w:t>
      </w:r>
      <w:r w:rsidR="00946716" w:rsidRPr="00997E5F">
        <w:rPr>
          <w:bCs/>
          <w:color w:val="auto"/>
        </w:rPr>
        <w:t>я 202</w:t>
      </w:r>
      <w:r w:rsidR="00997E5F" w:rsidRPr="00997E5F">
        <w:rPr>
          <w:bCs/>
          <w:color w:val="auto"/>
        </w:rPr>
        <w:t>2</w:t>
      </w:r>
      <w:r w:rsidR="00237C49" w:rsidRPr="00997E5F">
        <w:rPr>
          <w:bCs/>
          <w:color w:val="auto"/>
        </w:rPr>
        <w:t xml:space="preserve">года № </w:t>
      </w:r>
      <w:r w:rsidR="00997E5F" w:rsidRPr="00997E5F">
        <w:rPr>
          <w:bCs/>
          <w:color w:val="auto"/>
        </w:rPr>
        <w:t>43</w:t>
      </w:r>
      <w:r w:rsidR="00237C49" w:rsidRPr="00997E5F">
        <w:rPr>
          <w:bCs/>
          <w:color w:val="auto"/>
        </w:rPr>
        <w:t xml:space="preserve"> </w:t>
      </w:r>
      <w:r w:rsidR="00237C49" w:rsidRPr="000F6C9C">
        <w:rPr>
          <w:bCs/>
        </w:rPr>
        <w:t xml:space="preserve">«Об утверждении </w:t>
      </w:r>
      <w:r w:rsidR="00946716">
        <w:rPr>
          <w:bCs/>
        </w:rPr>
        <w:t xml:space="preserve">положения о </w:t>
      </w:r>
      <w:r w:rsidR="00237C49" w:rsidRPr="000F6C9C">
        <w:rPr>
          <w:bCs/>
        </w:rPr>
        <w:t>порядк</w:t>
      </w:r>
      <w:r w:rsidR="00946716">
        <w:rPr>
          <w:bCs/>
        </w:rPr>
        <w:t>е</w:t>
      </w:r>
      <w:r w:rsidR="00237C49" w:rsidRPr="000F6C9C">
        <w:rPr>
          <w:bCs/>
        </w:rPr>
        <w:t xml:space="preserve"> </w:t>
      </w:r>
      <w:r w:rsidR="001771F6" w:rsidRPr="000F6C9C">
        <w:rPr>
          <w:bCs/>
        </w:rPr>
        <w:t xml:space="preserve">проведения оценки </w:t>
      </w:r>
      <w:r w:rsidR="00237C49" w:rsidRPr="000F6C9C">
        <w:rPr>
          <w:bCs/>
        </w:rPr>
        <w:t xml:space="preserve">налоговых расходов </w:t>
      </w:r>
      <w:r w:rsidR="001771F6" w:rsidRPr="000F6C9C">
        <w:rPr>
          <w:bCs/>
        </w:rPr>
        <w:t xml:space="preserve"> </w:t>
      </w:r>
      <w:r w:rsidR="00997E5F">
        <w:rPr>
          <w:bCs/>
        </w:rPr>
        <w:t xml:space="preserve">Ягодно-Полянского муниципального образования </w:t>
      </w:r>
      <w:r w:rsidR="00946716">
        <w:rPr>
          <w:bCs/>
        </w:rPr>
        <w:t xml:space="preserve">Татищевского </w:t>
      </w:r>
      <w:r w:rsidR="001771F6" w:rsidRPr="000F6C9C">
        <w:rPr>
          <w:bCs/>
        </w:rPr>
        <w:t>муниципального района</w:t>
      </w:r>
      <w:r w:rsidR="00946716">
        <w:rPr>
          <w:bCs/>
        </w:rPr>
        <w:t xml:space="preserve"> Саратовской области</w:t>
      </w:r>
      <w:r w:rsidR="00237C49" w:rsidRPr="000F6C9C">
        <w:rPr>
          <w:bCs/>
        </w:rPr>
        <w:t>»</w:t>
      </w:r>
      <w:r w:rsidR="004D3A22" w:rsidRPr="000F6C9C">
        <w:rPr>
          <w:color w:val="000000" w:themeColor="text1"/>
        </w:rPr>
        <w:t>.</w:t>
      </w:r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0F6C9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</w:t>
      </w:r>
      <w:r w:rsidR="00997E5F">
        <w:rPr>
          <w:color w:val="auto"/>
        </w:rPr>
        <w:t xml:space="preserve">Ягодно-Полянского муниципального образования </w:t>
      </w:r>
      <w:r w:rsidR="00946716" w:rsidRPr="00997E5F">
        <w:rPr>
          <w:color w:val="auto"/>
        </w:rPr>
        <w:t>Татищевского муниципального района Саратовской области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0F6C9C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997E5F">
        <w:rPr>
          <w:rFonts w:ascii="Times New Roman" w:eastAsia="Times New Roman" w:hAnsi="Times New Roman" w:cs="Times New Roman"/>
          <w:sz w:val="28"/>
          <w:szCs w:val="28"/>
        </w:rPr>
        <w:t>Ягодно-</w:t>
      </w:r>
      <w:r w:rsidR="00203855">
        <w:rPr>
          <w:rFonts w:ascii="Times New Roman" w:eastAsia="Times New Roman" w:hAnsi="Times New Roman" w:cs="Times New Roman"/>
          <w:sz w:val="28"/>
          <w:szCs w:val="28"/>
        </w:rPr>
        <w:t xml:space="preserve">Полянского муниципального образования </w:t>
      </w:r>
      <w:r w:rsidR="00946716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: 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е, </w:t>
      </w:r>
      <w:r w:rsidR="00946716" w:rsidRPr="000F6C9C">
        <w:rPr>
          <w:rFonts w:ascii="Times New Roman" w:eastAsia="Times New Roman" w:hAnsi="Times New Roman" w:cs="Times New Roman"/>
          <w:sz w:val="28"/>
          <w:szCs w:val="28"/>
        </w:rPr>
        <w:t>стимулирующие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>,</w:t>
      </w:r>
      <w:r w:rsidR="00DB4DD9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технические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>, фискальные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и</w:t>
      </w:r>
      <w:r w:rsidR="00946716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целевые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9B9" w:rsidRDefault="00F579B9" w:rsidP="00230DCD">
      <w:pPr>
        <w:pStyle w:val="40"/>
        <w:shd w:val="clear" w:color="auto" w:fill="auto"/>
        <w:spacing w:before="0" w:line="240" w:lineRule="auto"/>
        <w:ind w:firstLine="567"/>
      </w:pP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  <w:r w:rsidRPr="000F6C9C">
        <w:t>В 20</w:t>
      </w:r>
      <w:r w:rsidR="008A6542">
        <w:t>2</w:t>
      </w:r>
      <w:r w:rsidR="001A409C">
        <w:t>2</w:t>
      </w:r>
      <w:r w:rsidRPr="000F6C9C">
        <w:t xml:space="preserve"> году на территории </w:t>
      </w:r>
      <w:r w:rsidR="00203855">
        <w:t xml:space="preserve">Ягодно-Полянского муниципального образования </w:t>
      </w:r>
      <w:r w:rsidR="00946716">
        <w:t xml:space="preserve">Татищевского муниципального района Саратовской области </w:t>
      </w:r>
      <w:r w:rsidRPr="000F6C9C">
        <w:rPr>
          <w:spacing w:val="-1"/>
        </w:rPr>
        <w:t>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491402" w:rsidRPr="000F6C9C" w:rsidRDefault="00362371" w:rsidP="00491402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Решением Совета</w:t>
      </w:r>
      <w:r>
        <w:rPr>
          <w:color w:val="000000" w:themeColor="text1"/>
        </w:rPr>
        <w:t xml:space="preserve"> депутатов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Ягодно - Полянского </w:t>
      </w:r>
      <w:r w:rsidRPr="000F6C9C">
        <w:rPr>
          <w:color w:val="000000" w:themeColor="text1"/>
        </w:rPr>
        <w:t>муниципального образования</w:t>
      </w:r>
      <w:r>
        <w:rPr>
          <w:color w:val="000000" w:themeColor="text1"/>
        </w:rPr>
        <w:t xml:space="preserve"> Татищевского муниципального района Саратовской области</w:t>
      </w:r>
      <w:r w:rsidRPr="000F6C9C">
        <w:rPr>
          <w:color w:val="000000" w:themeColor="text1"/>
        </w:rPr>
        <w:t xml:space="preserve"> от </w:t>
      </w:r>
      <w:r>
        <w:rPr>
          <w:color w:val="000000" w:themeColor="text1"/>
        </w:rPr>
        <w:t>17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октября </w:t>
      </w:r>
      <w:r w:rsidRPr="000F6C9C">
        <w:rPr>
          <w:color w:val="000000" w:themeColor="text1"/>
        </w:rPr>
        <w:t>2018</w:t>
      </w:r>
      <w:r>
        <w:rPr>
          <w:color w:val="000000" w:themeColor="text1"/>
        </w:rPr>
        <w:t xml:space="preserve"> года № 2/19-2 «О земельном налоге</w:t>
      </w:r>
      <w:r w:rsidRPr="000F6C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Ягодно - Полянском муниципальном образовании Татищевского муниципального района Саратовской области» </w:t>
      </w:r>
      <w:r w:rsidR="004D23AF" w:rsidRPr="000F6C9C">
        <w:rPr>
          <w:color w:val="000000" w:themeColor="text1"/>
        </w:rPr>
        <w:t>(далее – решение о земельном налоге)</w:t>
      </w:r>
      <w:r w:rsidR="00D7442A" w:rsidRPr="000F6C9C">
        <w:rPr>
          <w:color w:val="000000" w:themeColor="text1"/>
        </w:rPr>
        <w:t xml:space="preserve"> налоговые льготы по земельному налогу </w:t>
      </w:r>
      <w:r w:rsidR="00491402" w:rsidRPr="000F6C9C">
        <w:rPr>
          <w:color w:val="000000" w:themeColor="text1"/>
        </w:rPr>
        <w:t>для</w:t>
      </w:r>
      <w:r w:rsidR="00491402">
        <w:rPr>
          <w:color w:val="000000" w:themeColor="text1"/>
        </w:rPr>
        <w:t xml:space="preserve"> 3</w:t>
      </w:r>
      <w:r w:rsidR="00491402" w:rsidRPr="000F6C9C">
        <w:rPr>
          <w:color w:val="000000" w:themeColor="text1"/>
        </w:rPr>
        <w:t xml:space="preserve"> категори</w:t>
      </w:r>
      <w:r w:rsidR="00491402">
        <w:rPr>
          <w:color w:val="000000" w:themeColor="text1"/>
        </w:rPr>
        <w:t>й</w:t>
      </w:r>
      <w:r w:rsidR="00491402" w:rsidRPr="000F6C9C">
        <w:rPr>
          <w:color w:val="000000" w:themeColor="text1"/>
        </w:rPr>
        <w:t xml:space="preserve"> налогоплательщиков, </w:t>
      </w:r>
      <w:r w:rsidR="00491402">
        <w:rPr>
          <w:color w:val="auto"/>
        </w:rPr>
        <w:t>1</w:t>
      </w:r>
      <w:r w:rsidR="00491402" w:rsidRPr="000F6C9C">
        <w:rPr>
          <w:color w:val="000000" w:themeColor="text1"/>
        </w:rPr>
        <w:t xml:space="preserve"> из которых – физические лица.</w:t>
      </w:r>
    </w:p>
    <w:p w:rsidR="00491402" w:rsidRPr="000F6C9C" w:rsidRDefault="00491402" w:rsidP="00491402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решения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 земельном налоге к социальным налоговым расходам относятся следующие льготы:</w:t>
      </w:r>
    </w:p>
    <w:p w:rsidR="00491402" w:rsidRDefault="00491402" w:rsidP="00491402">
      <w:pPr>
        <w:spacing w:before="3"/>
        <w:ind w:right="-1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Pr="00884D5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размере 100%</w:t>
      </w:r>
      <w:r w:rsidRPr="00884D52">
        <w:rPr>
          <w:rFonts w:ascii="Times New Roman" w:hAnsi="Times New Roman" w:cs="Times New Roman"/>
          <w:sz w:val="28"/>
          <w:szCs w:val="28"/>
        </w:rPr>
        <w:t xml:space="preserve"> от суммы налога</w:t>
      </w:r>
      <w:r>
        <w:rPr>
          <w:rFonts w:ascii="Times New Roman" w:hAnsi="Times New Roman" w:cs="Times New Roman"/>
          <w:sz w:val="28"/>
          <w:szCs w:val="28"/>
        </w:rPr>
        <w:t xml:space="preserve"> льгота предоставляется</w:t>
      </w:r>
      <w:r w:rsidRPr="00884D52">
        <w:rPr>
          <w:rFonts w:ascii="Times New Roman" w:hAnsi="Times New Roman" w:cs="Times New Roman"/>
          <w:sz w:val="28"/>
          <w:szCs w:val="28"/>
        </w:rPr>
        <w:t xml:space="preserve"> 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- ветеранам и инвалидам Великой Отечественной войны.</w:t>
      </w:r>
    </w:p>
    <w:p w:rsidR="00491402" w:rsidRPr="000F6C9C" w:rsidRDefault="00491402" w:rsidP="00491402">
      <w:pPr>
        <w:pStyle w:val="af1"/>
        <w:spacing w:after="0"/>
        <w:ind w:left="927" w:right="-19"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491402" w:rsidRDefault="00491402" w:rsidP="004914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>
        <w:rPr>
          <w:rFonts w:ascii="Times New Roman" w:hAnsi="Times New Roman" w:cs="Times New Roman"/>
          <w:sz w:val="28"/>
          <w:szCs w:val="28"/>
        </w:rPr>
        <w:t xml:space="preserve">льгота </w:t>
      </w:r>
      <w:r w:rsidR="00203855">
        <w:rPr>
          <w:rFonts w:ascii="Times New Roman" w:hAnsi="Times New Roman" w:cs="Times New Roman"/>
          <w:sz w:val="28"/>
          <w:szCs w:val="28"/>
        </w:rPr>
        <w:t>предоставляется налогоплательщикам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6C9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учреждениям.</w:t>
      </w:r>
    </w:p>
    <w:p w:rsidR="00491402" w:rsidRPr="000F6C9C" w:rsidRDefault="00491402" w:rsidP="00491402">
      <w:pPr>
        <w:spacing w:before="3"/>
        <w:ind w:left="1" w:right="-19"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стимулирующим налоговым расходам относятся следующие льготы:</w:t>
      </w:r>
    </w:p>
    <w:p w:rsidR="00491402" w:rsidRDefault="00491402" w:rsidP="004914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>
        <w:rPr>
          <w:rFonts w:ascii="Times New Roman" w:hAnsi="Times New Roman" w:cs="Times New Roman"/>
          <w:sz w:val="28"/>
          <w:szCs w:val="28"/>
        </w:rPr>
        <w:t xml:space="preserve">льгота предоставляется </w:t>
      </w:r>
      <w:r w:rsidRPr="000F6C9C"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>
        <w:rPr>
          <w:rFonts w:ascii="Times New Roman" w:hAnsi="Times New Roman" w:cs="Times New Roman"/>
          <w:sz w:val="28"/>
          <w:szCs w:val="28"/>
        </w:rPr>
        <w:t>– инвесторам, являющимся стороной инвестиционного соглашения.</w:t>
      </w:r>
    </w:p>
    <w:p w:rsidR="00491402" w:rsidRDefault="00491402" w:rsidP="002038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D52">
        <w:rPr>
          <w:rFonts w:ascii="Times New Roman" w:hAnsi="Times New Roman" w:cs="Times New Roman"/>
          <w:sz w:val="28"/>
          <w:szCs w:val="28"/>
        </w:rPr>
        <w:t xml:space="preserve">Инвестор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4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физическое лицо, зарегистрированное в качестве индивидуального предпринимателя или юридическое лицо, зарегистрированное на территории </w:t>
      </w:r>
      <w:r w:rsidR="00203855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района Саратовской области, осуществившее капитальные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вложения в соответствии с приоритетными направлениями развития экономики муниц</w:t>
      </w:r>
      <w:r w:rsidR="00203855">
        <w:rPr>
          <w:rFonts w:ascii="Times New Roman" w:hAnsi="Times New Roman" w:cs="Times New Roman"/>
          <w:sz w:val="28"/>
          <w:szCs w:val="28"/>
        </w:rPr>
        <w:t xml:space="preserve">ипальных образований в размере </w:t>
      </w:r>
      <w:r w:rsidRPr="00181BEC">
        <w:rPr>
          <w:rFonts w:ascii="Times New Roman" w:hAnsi="Times New Roman" w:cs="Times New Roman"/>
          <w:sz w:val="28"/>
          <w:szCs w:val="28"/>
        </w:rPr>
        <w:t>не менее 5 миллионов рублей.</w:t>
      </w:r>
    </w:p>
    <w:p w:rsidR="00411314" w:rsidRPr="000F6C9C" w:rsidRDefault="00411314" w:rsidP="0049140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0FA4" w:rsidRDefault="00EB702D" w:rsidP="007C0AE7">
      <w:pPr>
        <w:pStyle w:val="40"/>
        <w:numPr>
          <w:ilvl w:val="0"/>
          <w:numId w:val="9"/>
        </w:numPr>
        <w:shd w:val="clear" w:color="auto" w:fill="auto"/>
        <w:spacing w:before="0" w:line="240" w:lineRule="auto"/>
        <w:jc w:val="center"/>
        <w:rPr>
          <w:b/>
          <w:bCs/>
        </w:rPr>
      </w:pPr>
      <w:r w:rsidRPr="000F6C9C">
        <w:rPr>
          <w:b/>
          <w:color w:val="000000" w:themeColor="text1"/>
        </w:rPr>
        <w:t>Оценка эффективности социальных налоговых расходов</w:t>
      </w:r>
      <w:r w:rsidR="00203855">
        <w:rPr>
          <w:b/>
          <w:color w:val="000000" w:themeColor="text1"/>
        </w:rPr>
        <w:t xml:space="preserve"> Ягодно-Полянского муниципального образования</w:t>
      </w:r>
      <w:r w:rsidR="00EA0FA4" w:rsidRPr="000F6C9C">
        <w:rPr>
          <w:b/>
          <w:bCs/>
        </w:rPr>
        <w:t xml:space="preserve"> </w:t>
      </w:r>
      <w:r w:rsidR="007C0AE7">
        <w:rPr>
          <w:b/>
          <w:bCs/>
        </w:rPr>
        <w:t>Татищевского муниципального района Саратовской области</w:t>
      </w:r>
    </w:p>
    <w:p w:rsidR="007C0AE7" w:rsidRPr="000F6C9C" w:rsidRDefault="007C0AE7" w:rsidP="007632F6">
      <w:pPr>
        <w:pStyle w:val="40"/>
        <w:shd w:val="clear" w:color="auto" w:fill="auto"/>
        <w:spacing w:before="0" w:line="240" w:lineRule="auto"/>
        <w:ind w:left="927" w:firstLine="0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3361"/>
      </w:tblGrid>
      <w:tr w:rsidR="00491402" w:rsidRPr="000F6C9C" w:rsidTr="00491402">
        <w:tc>
          <w:tcPr>
            <w:tcW w:w="3794" w:type="dxa"/>
            <w:vAlign w:val="center"/>
          </w:tcPr>
          <w:p w:rsidR="00491402" w:rsidRPr="000F6C9C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491402" w:rsidRPr="000F6C9C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361" w:type="dxa"/>
            <w:vAlign w:val="center"/>
          </w:tcPr>
          <w:p w:rsidR="00491402" w:rsidRPr="000F6C9C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91402" w:rsidRPr="000F6C9C" w:rsidTr="00491402">
        <w:tc>
          <w:tcPr>
            <w:tcW w:w="3794" w:type="dxa"/>
          </w:tcPr>
          <w:p w:rsidR="00491402" w:rsidRPr="007632F6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7632F6">
              <w:rPr>
                <w:bCs/>
              </w:rPr>
              <w:t xml:space="preserve">Освобождение от уплаты земельного налога: </w:t>
            </w:r>
          </w:p>
          <w:p w:rsidR="00491402" w:rsidRPr="007632F6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7632F6">
              <w:t xml:space="preserve">- ветеранов и инвалидов Великой Отечественной войны </w:t>
            </w:r>
            <w:r w:rsidRPr="007632F6">
              <w:rPr>
                <w:bCs/>
              </w:rPr>
              <w:t>(льгота в размере 100%),</w:t>
            </w:r>
          </w:p>
          <w:p w:rsidR="00491402" w:rsidRPr="000F6C9C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3260" w:type="dxa"/>
          </w:tcPr>
          <w:p w:rsidR="00491402" w:rsidRPr="007C0AE7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highlight w:val="yellow"/>
              </w:rPr>
            </w:pPr>
            <w:r w:rsidRPr="00F81C3B">
              <w:rPr>
                <w:bCs/>
              </w:rPr>
              <w:t>Стратегия социально-экономического развития Татищевского муниципального района Саратовской области до 2030 года</w:t>
            </w:r>
          </w:p>
        </w:tc>
        <w:tc>
          <w:tcPr>
            <w:tcW w:w="3361" w:type="dxa"/>
          </w:tcPr>
          <w:p w:rsidR="00491402" w:rsidRPr="006A0EE2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6A0EE2">
              <w:t>- Приоритет: сохранение, воспроизводство и развитие человеческого потенциала района.</w:t>
            </w:r>
          </w:p>
          <w:p w:rsidR="00491402" w:rsidRPr="007C0AE7" w:rsidRDefault="00491402" w:rsidP="0071464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highlight w:val="yellow"/>
              </w:rPr>
            </w:pPr>
            <w:r w:rsidRPr="006A0EE2">
              <w:rPr>
                <w:bCs/>
              </w:rPr>
              <w:t>- Приоритет: повышение качества жизни населения Татищевского муниципального района.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983BBA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освобо</w:t>
      </w:r>
      <w:r w:rsidR="00B20A2A">
        <w:rPr>
          <w:rStyle w:val="FontStyle38"/>
          <w:color w:val="auto"/>
          <w:sz w:val="28"/>
          <w:szCs w:val="28"/>
        </w:rPr>
        <w:t>ждения от уплаты налога отдельной</w:t>
      </w:r>
      <w:r w:rsidRPr="000F6C9C">
        <w:rPr>
          <w:rStyle w:val="FontStyle38"/>
          <w:color w:val="auto"/>
          <w:sz w:val="28"/>
          <w:szCs w:val="28"/>
        </w:rPr>
        <w:t xml:space="preserve"> категори</w:t>
      </w:r>
      <w:r w:rsidR="00B20A2A">
        <w:rPr>
          <w:rStyle w:val="FontStyle38"/>
          <w:color w:val="auto"/>
          <w:sz w:val="28"/>
          <w:szCs w:val="28"/>
        </w:rPr>
        <w:t>и</w:t>
      </w:r>
      <w:r w:rsidRPr="000F6C9C">
        <w:rPr>
          <w:rStyle w:val="FontStyle38"/>
          <w:color w:val="auto"/>
          <w:sz w:val="28"/>
          <w:szCs w:val="28"/>
        </w:rPr>
        <w:t xml:space="preserve"> налогоплательщиков, относящимся к социально незащищенным группам населения.</w:t>
      </w:r>
    </w:p>
    <w:p w:rsidR="00983BBA" w:rsidRPr="00983BBA" w:rsidRDefault="00983BBA" w:rsidP="00983BBA">
      <w:pPr>
        <w:pStyle w:val="40"/>
        <w:spacing w:before="0"/>
        <w:ind w:firstLine="567"/>
        <w:rPr>
          <w:rFonts w:eastAsia="Arial Unicode MS"/>
          <w:color w:val="auto"/>
        </w:rPr>
      </w:pPr>
      <w:r w:rsidRPr="00983BBA">
        <w:rPr>
          <w:rFonts w:eastAsia="Arial Unicode MS"/>
          <w:color w:val="auto"/>
        </w:rPr>
        <w:t>Общий объем налогового расхода по земельному налогу, предоставленной данной категории физических лиц, составляет 0,0 тыс. рублей с 2020 года по 2022 год. Доля налогового расхода в общей величине налога, предъявленного к уплате физическими лицами, составляет 0%.</w:t>
      </w:r>
    </w:p>
    <w:p w:rsidR="00EA0FA4" w:rsidRDefault="00983BBA" w:rsidP="008C2002">
      <w:pPr>
        <w:pStyle w:val="40"/>
        <w:spacing w:before="0"/>
        <w:ind w:firstLine="567"/>
        <w:rPr>
          <w:rFonts w:eastAsia="Arial Unicode MS"/>
          <w:color w:val="auto"/>
        </w:rPr>
      </w:pPr>
      <w:r w:rsidRPr="00983BBA">
        <w:rPr>
          <w:rFonts w:eastAsia="Arial Unicode MS"/>
          <w:color w:val="auto"/>
        </w:rPr>
        <w:t>Льгота установлена, но не предоставляется ввиду отсутствия указанной категории налогоплательщиков.</w:t>
      </w:r>
    </w:p>
    <w:p w:rsidR="00983BBA" w:rsidRPr="000F6C9C" w:rsidRDefault="00983BBA" w:rsidP="00983BBA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</w:t>
      </w:r>
      <w:r w:rsidR="008C2002">
        <w:rPr>
          <w:rStyle w:val="FontStyle38"/>
          <w:sz w:val="28"/>
          <w:szCs w:val="28"/>
        </w:rPr>
        <w:t xml:space="preserve"> Ягодно-Полянского муниципального образования</w:t>
      </w:r>
      <w:r w:rsidRPr="000F6C9C">
        <w:rPr>
          <w:rStyle w:val="FontStyle38"/>
          <w:sz w:val="28"/>
          <w:szCs w:val="28"/>
        </w:rPr>
        <w:t xml:space="preserve"> </w:t>
      </w:r>
      <w:r w:rsidR="007C0AE7">
        <w:rPr>
          <w:rStyle w:val="FontStyle38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Style w:val="FontStyle38"/>
          <w:sz w:val="28"/>
          <w:szCs w:val="28"/>
        </w:rPr>
        <w:t>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8C2002" w:rsidRPr="000F6C9C" w:rsidRDefault="008C2002" w:rsidP="008C2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Оценка результативности производится на основании влияния налогового расхода на результаты реализации соответствующей муниципальной программы (ее </w:t>
      </w:r>
      <w:r w:rsidRPr="000F6C9C">
        <w:rPr>
          <w:rFonts w:ascii="Times New Roman" w:hAnsi="Times New Roman" w:cs="Times New Roman"/>
          <w:sz w:val="28"/>
          <w:szCs w:val="28"/>
        </w:rPr>
        <w:lastRenderedPageBreak/>
        <w:t>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8C2002" w:rsidRPr="000F6C9C" w:rsidRDefault="008C2002" w:rsidP="008C2002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8C2002" w:rsidRDefault="008C2002" w:rsidP="008C2002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C2002" w:rsidRPr="00F24A3D" w:rsidRDefault="008C2002" w:rsidP="008C200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социальной налоговой льготы не целесообразно ввиду отсутствия указанной категории налогоплательщиков.</w:t>
      </w:r>
    </w:p>
    <w:p w:rsidR="008C2002" w:rsidRDefault="008C2002" w:rsidP="008C2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EE2">
        <w:rPr>
          <w:rFonts w:ascii="Times New Roman" w:hAnsi="Times New Roman" w:cs="Times New Roman"/>
          <w:sz w:val="28"/>
          <w:szCs w:val="28"/>
        </w:rPr>
        <w:t>В связи этим,</w:t>
      </w:r>
      <w:r w:rsidRPr="000F6C9C">
        <w:rPr>
          <w:rFonts w:ascii="Times New Roman" w:hAnsi="Times New Roman" w:cs="Times New Roman"/>
          <w:sz w:val="28"/>
          <w:szCs w:val="28"/>
        </w:rPr>
        <w:t xml:space="preserve"> действие налогового расхода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F6C9C">
        <w:rPr>
          <w:rFonts w:ascii="Times New Roman" w:hAnsi="Times New Roman" w:cs="Times New Roman"/>
          <w:sz w:val="28"/>
          <w:szCs w:val="28"/>
        </w:rPr>
        <w:t>способствует достижению установленных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0F6C9C">
        <w:rPr>
          <w:rFonts w:ascii="Times New Roman" w:hAnsi="Times New Roman" w:cs="Times New Roman"/>
          <w:sz w:val="28"/>
          <w:szCs w:val="28"/>
        </w:rPr>
        <w:t xml:space="preserve">посредством повышения доходов населения, что свидетельствует о его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результативности.</w:t>
      </w:r>
    </w:p>
    <w:p w:rsidR="008C2002" w:rsidRDefault="008C2002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</w:t>
      </w:r>
      <w:r w:rsidR="008C2002">
        <w:rPr>
          <w:b/>
          <w:bCs/>
          <w:color w:val="auto"/>
        </w:rPr>
        <w:t xml:space="preserve">Ягодно-Полянского муниципального образования </w:t>
      </w:r>
      <w:r w:rsidR="007C0AE7">
        <w:rPr>
          <w:b/>
          <w:bCs/>
          <w:color w:val="auto"/>
        </w:rPr>
        <w:t>Татищевского муниципального района Саратовской области</w:t>
      </w:r>
    </w:p>
    <w:p w:rsidR="00D6431D" w:rsidRPr="000F6C9C" w:rsidRDefault="00D6431D" w:rsidP="00D6431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2002" w:rsidRPr="008C2002" w:rsidRDefault="008C2002" w:rsidP="008C200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C2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8C20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Стратегии социально</w:t>
      </w:r>
      <w:r w:rsidRPr="008C20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ar-SA"/>
        </w:rPr>
        <w:t xml:space="preserve">-экономического развития Татищевского муниципального района Саратовской области до 2030 года, являются востребованными, не несут в себе значимых отрицательных внешних эффектов </w:t>
      </w:r>
      <w:r w:rsidRPr="008C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отношении экономического развития муниципального района.</w:t>
      </w:r>
    </w:p>
    <w:p w:rsidR="008C2002" w:rsidRPr="008C2002" w:rsidRDefault="008C2002" w:rsidP="008C200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8C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Социальные налоговые расходы, предоставляемые отдельным категориям граждан и хозяйствующим субъектам, признаются не эффективными и требующими отмены ввиду отсутствия </w:t>
      </w:r>
      <w:r w:rsidRPr="008C2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категории налогоплательщиков, которым она предоставляется</w:t>
      </w:r>
      <w:r w:rsidRPr="008C20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EA0FA4" w:rsidRPr="000F6C9C" w:rsidRDefault="00EA0FA4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 Оценка эффективности технических налоговых расходов</w:t>
      </w:r>
      <w:r w:rsidRPr="000F6C9C">
        <w:rPr>
          <w:b/>
          <w:bCs/>
        </w:rPr>
        <w:t xml:space="preserve"> </w:t>
      </w:r>
      <w:r w:rsidR="008C2002">
        <w:rPr>
          <w:b/>
          <w:bCs/>
        </w:rPr>
        <w:t xml:space="preserve">Ягодно-Полянского муниципального образования </w:t>
      </w:r>
      <w:r w:rsidR="007C0AE7">
        <w:rPr>
          <w:b/>
          <w:bCs/>
        </w:rPr>
        <w:t>Татищевского муниципального района Саратовской области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EA0FA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2.1 Оценка целесообразности технических 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2.1.1 Соответствие технических налоговых расходов целям и задачам муниципальных программ или целям социально-экономической политики:</w:t>
      </w:r>
    </w:p>
    <w:p w:rsidR="00AF4B04" w:rsidRPr="000F6C9C" w:rsidRDefault="00AF4B0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83"/>
        <w:gridCol w:w="3394"/>
        <w:gridCol w:w="3412"/>
      </w:tblGrid>
      <w:tr w:rsidR="00417399" w:rsidRPr="000F6C9C" w:rsidTr="001771F6">
        <w:tc>
          <w:tcPr>
            <w:tcW w:w="3471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472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72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17399" w:rsidRPr="000F6C9C" w:rsidTr="001771F6">
        <w:tc>
          <w:tcPr>
            <w:tcW w:w="3471" w:type="dxa"/>
          </w:tcPr>
          <w:p w:rsidR="00417399" w:rsidRPr="006A0EE2" w:rsidRDefault="001A1B66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rPr>
                <w:bCs/>
              </w:rPr>
              <w:t>Полное о</w:t>
            </w:r>
            <w:r w:rsidR="00417399" w:rsidRPr="006A0EE2">
              <w:rPr>
                <w:bCs/>
              </w:rPr>
              <w:t xml:space="preserve">свобождение от уплаты земельного налога: </w:t>
            </w:r>
          </w:p>
          <w:p w:rsidR="00AF4B04" w:rsidRPr="006A0EE2" w:rsidRDefault="00417399" w:rsidP="00AF4B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2"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юридических лиц </w:t>
            </w:r>
            <w:r w:rsidR="00AA457C" w:rsidRPr="006A0E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4B04" w:rsidRPr="006A0EE2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</w:t>
            </w:r>
            <w:r w:rsidR="00AF4B04" w:rsidRPr="006A0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и муниципальные учреждениям, финансируемые за счет средств бюджетов различных уровней </w:t>
            </w:r>
          </w:p>
          <w:p w:rsidR="00417399" w:rsidRPr="006A0EE2" w:rsidRDefault="00417399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2">
              <w:rPr>
                <w:rFonts w:ascii="Times New Roman" w:hAnsi="Times New Roman" w:cs="Times New Roman"/>
                <w:bCs/>
                <w:sz w:val="28"/>
                <w:szCs w:val="28"/>
              </w:rPr>
              <w:t>(льгота в размере 100%).</w:t>
            </w:r>
          </w:p>
        </w:tc>
        <w:tc>
          <w:tcPr>
            <w:tcW w:w="3472" w:type="dxa"/>
          </w:tcPr>
          <w:p w:rsidR="00417399" w:rsidRPr="006A0EE2" w:rsidRDefault="00417399" w:rsidP="006A0EE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rPr>
                <w:bCs/>
              </w:rPr>
              <w:lastRenderedPageBreak/>
              <w:t xml:space="preserve">Стратегия социально-экономического развития </w:t>
            </w:r>
            <w:r w:rsidR="006A0EE2" w:rsidRPr="006A0EE2">
              <w:rPr>
                <w:bCs/>
              </w:rPr>
              <w:t>Татищевского</w:t>
            </w:r>
            <w:r w:rsidR="00AF4B04" w:rsidRPr="006A0EE2">
              <w:rPr>
                <w:bCs/>
              </w:rPr>
              <w:t xml:space="preserve"> </w:t>
            </w:r>
            <w:r w:rsidRPr="006A0EE2">
              <w:rPr>
                <w:bCs/>
              </w:rPr>
              <w:t>муниципального района до 2030 года</w:t>
            </w:r>
          </w:p>
        </w:tc>
        <w:tc>
          <w:tcPr>
            <w:tcW w:w="3472" w:type="dxa"/>
          </w:tcPr>
          <w:p w:rsidR="00417399" w:rsidRPr="006A0EE2" w:rsidRDefault="00F936E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6A0EE2">
              <w:t xml:space="preserve">- </w:t>
            </w:r>
            <w:r w:rsidR="006A0EE2" w:rsidRPr="006A0EE2">
              <w:t>Приоритет: п</w:t>
            </w:r>
            <w:r w:rsidRPr="006A0EE2">
              <w:t>овышение эффективности управления, обеспечение устойчивости бюд</w:t>
            </w:r>
            <w:r w:rsidR="006A0EE2" w:rsidRPr="006A0EE2">
              <w:t xml:space="preserve">жетной системы района (Задача: </w:t>
            </w:r>
            <w:r w:rsidR="006A0EE2" w:rsidRPr="006A0EE2">
              <w:lastRenderedPageBreak/>
              <w:t>с</w:t>
            </w:r>
            <w:r w:rsidRPr="006A0EE2">
              <w:t>овершенствование методов планирования и управления бюджетным процессом)</w:t>
            </w:r>
          </w:p>
        </w:tc>
      </w:tr>
    </w:tbl>
    <w:p w:rsidR="00CB1D1A" w:rsidRPr="000F6C9C" w:rsidRDefault="00CB1D1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AF04BF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  <w:u w:val="single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2.1.</w:t>
      </w:r>
      <w:r w:rsidR="0070651A">
        <w:rPr>
          <w:b/>
          <w:bCs/>
        </w:rPr>
        <w:t>2</w:t>
      </w:r>
      <w:bookmarkStart w:id="0" w:name="_GoBack"/>
      <w:bookmarkEnd w:id="0"/>
      <w:r w:rsidRPr="000F6C9C">
        <w:rPr>
          <w:b/>
          <w:bCs/>
        </w:rPr>
        <w:t xml:space="preserve"> Отсутствие значимых отрицательных внешних эффектов:</w:t>
      </w:r>
    </w:p>
    <w:p w:rsidR="002D645A" w:rsidRPr="000F6C9C" w:rsidRDefault="002D645A" w:rsidP="0052208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754E84" w:rsidRPr="000F6C9C" w:rsidRDefault="00754E84" w:rsidP="0052208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Технические налоговые расходы</w:t>
      </w:r>
      <w:r w:rsidR="0052208D" w:rsidRPr="000F6C9C">
        <w:rPr>
          <w:rStyle w:val="FontStyle38"/>
          <w:sz w:val="28"/>
          <w:szCs w:val="28"/>
        </w:rPr>
        <w:t xml:space="preserve"> призваны </w:t>
      </w:r>
      <w:r w:rsidR="0052208D"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</w:t>
      </w:r>
      <w:r w:rsidR="004C5C9E" w:rsidRPr="000F6C9C">
        <w:rPr>
          <w:rFonts w:ascii="Times New Roman" w:hAnsi="Times New Roman" w:cs="Times New Roman"/>
          <w:sz w:val="28"/>
          <w:szCs w:val="28"/>
        </w:rPr>
        <w:t>ов на величину этих налогов.</w:t>
      </w:r>
      <w:r w:rsidR="00E94834">
        <w:rPr>
          <w:rFonts w:ascii="Times New Roman" w:hAnsi="Times New Roman" w:cs="Times New Roman"/>
          <w:sz w:val="28"/>
          <w:szCs w:val="28"/>
        </w:rPr>
        <w:t xml:space="preserve"> </w:t>
      </w:r>
      <w:r w:rsidR="004C5C9E" w:rsidRPr="000F6C9C">
        <w:rPr>
          <w:rStyle w:val="FontStyle38"/>
          <w:sz w:val="28"/>
          <w:szCs w:val="28"/>
        </w:rPr>
        <w:t xml:space="preserve">Технические налоговые расходы </w:t>
      </w:r>
      <w:r w:rsidRPr="000F6C9C">
        <w:rPr>
          <w:rStyle w:val="FontStyle38"/>
          <w:sz w:val="28"/>
          <w:szCs w:val="28"/>
        </w:rPr>
        <w:t xml:space="preserve">не оказывают отрицательного влияния на показатели достижения целей социально-экономической политики </w:t>
      </w:r>
      <w:r w:rsidR="00E94834">
        <w:rPr>
          <w:rStyle w:val="FontStyle38"/>
          <w:sz w:val="28"/>
          <w:szCs w:val="28"/>
        </w:rPr>
        <w:t xml:space="preserve">Татищевского муниципального района Саратовской области </w:t>
      </w:r>
      <w:r w:rsidRPr="000F6C9C">
        <w:rPr>
          <w:rStyle w:val="FontStyle38"/>
          <w:sz w:val="28"/>
          <w:szCs w:val="28"/>
        </w:rPr>
        <w:t>в целом</w:t>
      </w:r>
      <w:r w:rsidR="004C5C9E" w:rsidRPr="000F6C9C">
        <w:rPr>
          <w:rStyle w:val="FontStyle38"/>
          <w:sz w:val="28"/>
          <w:szCs w:val="28"/>
        </w:rPr>
        <w:t>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2.2 Оценка результативности технических налоговых расходов</w:t>
      </w:r>
    </w:p>
    <w:p w:rsidR="007D4DEC" w:rsidRPr="000F6C9C" w:rsidRDefault="007D4DE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В отношении технических налоговых расходов, предоставленных муниципальным учреждениям, оценка проводилась путем определения бюджетной эффективности.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 xml:space="preserve">Оценка бюджетной эффективности предполагает оценку результатов экономической деятельности категорий налогоплательщиков, которым предоставлена налоговая льгота, с позиции влияния на расходы бюджета </w:t>
      </w:r>
      <w:r w:rsidR="00E94834">
        <w:rPr>
          <w:color w:val="000000" w:themeColor="text1"/>
        </w:rPr>
        <w:t>Татищевского муниципального района Саратовской области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Для определения бюджетной эффективности налоговых расходов рассчитывается коэффициент бюджетной эффективности. Льгота признается эффективной, если коэффициент больше, либо равен единице.</w:t>
      </w:r>
    </w:p>
    <w:p w:rsidR="00BD608D" w:rsidRPr="000F6C9C" w:rsidRDefault="00BD608D" w:rsidP="00E948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осуществляется с использованием критерия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оптимизации расходов бюджета </w:t>
      </w:r>
      <w:r w:rsidR="00E94834">
        <w:rPr>
          <w:rFonts w:ascii="Times New Roman" w:hAnsi="Times New Roman" w:cs="Times New Roman"/>
          <w:color w:val="000000" w:themeColor="text1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предусматривает сокращение встречных финансовых потоков при одновременном снижении налоговой нагрузки на организации, полностью или частично финансируемые из бюджета </w:t>
      </w:r>
      <w:r w:rsidR="00E94834">
        <w:rPr>
          <w:rFonts w:ascii="Times New Roman" w:hAnsi="Times New Roman" w:cs="Times New Roman"/>
          <w:color w:val="000000" w:themeColor="text1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 объема бюджетного финансирования.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1F1022" w:rsidRDefault="00BD608D" w:rsidP="00BD608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102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323975" cy="469265"/>
            <wp:effectExtent l="1905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022">
        <w:rPr>
          <w:rFonts w:ascii="Times New Roman" w:hAnsi="Times New Roman" w:cs="Times New Roman"/>
          <w:sz w:val="28"/>
          <w:szCs w:val="28"/>
        </w:rPr>
        <w:t>, где:</w:t>
      </w:r>
    </w:p>
    <w:p w:rsidR="00BD608D" w:rsidRPr="001F102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1F102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1F1022">
        <w:rPr>
          <w:color w:val="000000" w:themeColor="text1"/>
        </w:rPr>
        <w:t>БФ - объем бюджетного финансирования организаций при отсутствии налоговой льготы (рублей);</w:t>
      </w:r>
    </w:p>
    <w:p w:rsidR="00BD608D" w:rsidRPr="001F102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1F1022">
        <w:rPr>
          <w:rStyle w:val="412pt"/>
          <w:color w:val="000000" w:themeColor="text1"/>
          <w:sz w:val="28"/>
          <w:szCs w:val="28"/>
        </w:rPr>
        <w:t xml:space="preserve">БФнл - </w:t>
      </w:r>
      <w:r w:rsidRPr="001F1022">
        <w:rPr>
          <w:color w:val="000000" w:themeColor="text1"/>
        </w:rPr>
        <w:t>объем бюджетного финансирования организаций при условии предоставления налоговой льготы (рублей);</w:t>
      </w:r>
    </w:p>
    <w:p w:rsidR="00BD608D" w:rsidRPr="001F102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1F1022">
        <w:t>РО</w:t>
      </w:r>
      <w:r w:rsidRPr="001F1022">
        <w:rPr>
          <w:color w:val="000000" w:themeColor="text1"/>
        </w:rPr>
        <w:t>- расходы организаций по уплате налогов при отсутствии налоговой льготы (рублей);</w:t>
      </w:r>
    </w:p>
    <w:p w:rsidR="00BD608D" w:rsidRPr="001F102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1F1022">
        <w:lastRenderedPageBreak/>
        <w:t>РОнл</w:t>
      </w:r>
      <w:r w:rsidRPr="001F1022">
        <w:rPr>
          <w:color w:val="000000" w:themeColor="text1"/>
        </w:rPr>
        <w:t xml:space="preserve"> - расходы организаций по уплате налогов при условии предоставления налоговой льготы (рублей).</w:t>
      </w:r>
    </w:p>
    <w:p w:rsidR="00BD608D" w:rsidRPr="001F1022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1F1022" w:rsidRDefault="00BD608D" w:rsidP="00BB1AB9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1F1022">
        <w:rPr>
          <w:b/>
          <w:color w:val="000000" w:themeColor="text1"/>
        </w:rPr>
        <w:t>Расчет коэффициента бюджетной эффективности по</w:t>
      </w:r>
    </w:p>
    <w:p w:rsidR="00BE6DE8" w:rsidRPr="001F1022" w:rsidRDefault="00BE6DE8" w:rsidP="00BB1A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22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и муниципальным учреждениям, финансируемым за счет средств бюджетов различных уровней</w:t>
      </w:r>
    </w:p>
    <w:p w:rsidR="00BB1AB9" w:rsidRPr="001F1022" w:rsidRDefault="00BB1AB9" w:rsidP="00BB1A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8D" w:rsidRPr="001F1022" w:rsidRDefault="00BB1AB9" w:rsidP="00BB1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1022">
        <w:rPr>
          <w:rFonts w:ascii="Times New Roman" w:hAnsi="Times New Roman" w:cs="Times New Roman"/>
          <w:sz w:val="28"/>
          <w:szCs w:val="28"/>
        </w:rPr>
        <w:t xml:space="preserve">Так как БФ=РО, а  </w:t>
      </w:r>
      <w:r w:rsidRPr="001F1022">
        <w:rPr>
          <w:rStyle w:val="412pt"/>
          <w:color w:val="000000" w:themeColor="text1"/>
          <w:sz w:val="28"/>
          <w:szCs w:val="28"/>
        </w:rPr>
        <w:t>БФнл=</w:t>
      </w:r>
      <w:r w:rsidRPr="001F1022">
        <w:rPr>
          <w:rFonts w:ascii="Times New Roman" w:hAnsi="Times New Roman" w:cs="Times New Roman"/>
          <w:sz w:val="28"/>
          <w:szCs w:val="28"/>
        </w:rPr>
        <w:t xml:space="preserve"> РОнл    получаем:</w:t>
      </w:r>
    </w:p>
    <w:p w:rsidR="00BB1AB9" w:rsidRPr="001F1022" w:rsidRDefault="00BB1AB9" w:rsidP="00BB1A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1F1022">
        <w:rPr>
          <w:b/>
          <w:color w:val="000000" w:themeColor="text1"/>
        </w:rPr>
        <w:t>К</w:t>
      </w:r>
      <w:r w:rsidRPr="001F1022">
        <w:rPr>
          <w:b/>
          <w:color w:val="000000" w:themeColor="text1"/>
          <w:vertAlign w:val="subscript"/>
        </w:rPr>
        <w:t>бэ</w:t>
      </w:r>
      <m:oMath>
        <m:r>
          <m:rPr>
            <m:sty m:val="bi"/>
          </m:rPr>
          <w:rPr>
            <w:rFonts w:asci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3791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3791</m:t>
            </m:r>
          </m:den>
        </m:f>
      </m:oMath>
      <w:r w:rsidRPr="001F1022">
        <w:rPr>
          <w:b/>
          <w:color w:val="000000" w:themeColor="text1"/>
        </w:rPr>
        <w:t xml:space="preserve"> = 1,0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</w:p>
    <w:p w:rsidR="00BD608D" w:rsidRDefault="00BD608D" w:rsidP="007D4DEC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Результаты оценки бюджетной эффек</w:t>
      </w:r>
      <w:r w:rsidR="00667501" w:rsidRPr="000F6C9C">
        <w:rPr>
          <w:b/>
          <w:color w:val="000000" w:themeColor="text1"/>
        </w:rPr>
        <w:t>тивности налоговых льгот за 20</w:t>
      </w:r>
      <w:r w:rsidR="00DB4C1E">
        <w:rPr>
          <w:b/>
          <w:color w:val="000000" w:themeColor="text1"/>
        </w:rPr>
        <w:t>2</w:t>
      </w:r>
      <w:r w:rsidR="001F1022">
        <w:rPr>
          <w:b/>
          <w:color w:val="000000" w:themeColor="text1"/>
        </w:rPr>
        <w:t>2</w:t>
      </w:r>
      <w:r w:rsidRPr="000F6C9C">
        <w:rPr>
          <w:b/>
          <w:color w:val="000000" w:themeColor="text1"/>
        </w:rPr>
        <w:t xml:space="preserve"> год</w:t>
      </w:r>
    </w:p>
    <w:p w:rsidR="0019301C" w:rsidRPr="000F6C9C" w:rsidRDefault="0019301C" w:rsidP="007D4DEC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835"/>
        <w:gridCol w:w="2835"/>
        <w:gridCol w:w="1701"/>
        <w:gridCol w:w="1581"/>
      </w:tblGrid>
      <w:tr w:rsidR="00BD608D" w:rsidRPr="000F6C9C" w:rsidTr="00DB4C1E">
        <w:trPr>
          <w:trHeight w:hRule="exact" w:val="2557"/>
        </w:trPr>
        <w:tc>
          <w:tcPr>
            <w:tcW w:w="1286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Вид налога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Категория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налогоплательщиков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Количество организаций (индивидуальных предпринимателей) данной категории</w:t>
            </w:r>
            <w:r w:rsidR="00E94834">
              <w:rPr>
                <w:rStyle w:val="2105pt"/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налогоплательщиков, получивших налоговую льготу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Сумма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 xml:space="preserve">предоставленной налоговой льготы 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(тыс. рублей)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Коэффициент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бюджетной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эффективности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налоговой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льготы</w:t>
            </w:r>
          </w:p>
        </w:tc>
      </w:tr>
      <w:tr w:rsidR="00BD608D" w:rsidRPr="000F6C9C" w:rsidTr="0019301C">
        <w:trPr>
          <w:trHeight w:hRule="exact" w:val="2513"/>
        </w:trPr>
        <w:tc>
          <w:tcPr>
            <w:tcW w:w="1286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Земельный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налог</w:t>
            </w:r>
          </w:p>
        </w:tc>
        <w:tc>
          <w:tcPr>
            <w:tcW w:w="2835" w:type="dxa"/>
            <w:shd w:val="clear" w:color="auto" w:fill="FFFFFF"/>
          </w:tcPr>
          <w:p w:rsidR="00BD608D" w:rsidRPr="000F6C9C" w:rsidRDefault="0001325E" w:rsidP="00013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и муниципальные учреждениям, финансируемые за счет средств бюджетов различных уровней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E94834" w:rsidRDefault="005C17A1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Style w:val="2105pt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E94834" w:rsidRDefault="005C17A1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Style w:val="214pt"/>
                <w:color w:val="000000" w:themeColor="text1"/>
              </w:rPr>
              <w:t>725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E94834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585454">
              <w:rPr>
                <w:rStyle w:val="2105pt"/>
                <w:b w:val="0"/>
                <w:color w:val="000000" w:themeColor="text1"/>
                <w:sz w:val="28"/>
                <w:szCs w:val="28"/>
              </w:rPr>
              <w:t>1,0</w:t>
            </w:r>
          </w:p>
        </w:tc>
      </w:tr>
    </w:tbl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jc w:val="left"/>
        <w:rPr>
          <w:color w:val="000000" w:themeColor="text1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Коэффициент бюджетной эффективности равен единице, следовательно, льг</w:t>
      </w:r>
      <w:r w:rsidR="00667501" w:rsidRPr="000F6C9C">
        <w:rPr>
          <w:color w:val="000000" w:themeColor="text1"/>
        </w:rPr>
        <w:t>ота по земельному налогу за 20</w:t>
      </w:r>
      <w:r w:rsidR="00DB4C1E">
        <w:rPr>
          <w:color w:val="000000" w:themeColor="text1"/>
        </w:rPr>
        <w:t>2</w:t>
      </w:r>
      <w:r w:rsidR="001F1022">
        <w:rPr>
          <w:color w:val="000000" w:themeColor="text1"/>
        </w:rPr>
        <w:t>2</w:t>
      </w:r>
      <w:r w:rsidRPr="000F6C9C">
        <w:rPr>
          <w:color w:val="000000" w:themeColor="text1"/>
        </w:rPr>
        <w:t xml:space="preserve"> год в отношении </w:t>
      </w:r>
      <w:r w:rsidR="0001325E" w:rsidRPr="000F6C9C">
        <w:rPr>
          <w:color w:val="000000" w:themeColor="text1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Pr="000F6C9C">
        <w:rPr>
          <w:color w:val="000000" w:themeColor="text1"/>
        </w:rPr>
        <w:t>признается эффективной.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6D63C3" w:rsidRPr="00585454" w:rsidRDefault="006D63C3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585454">
        <w:rPr>
          <w:b/>
        </w:rPr>
        <w:t xml:space="preserve">Выводы по результатам </w:t>
      </w:r>
      <w:r w:rsidRPr="00585454">
        <w:rPr>
          <w:b/>
          <w:color w:val="000000" w:themeColor="text1"/>
        </w:rPr>
        <w:t xml:space="preserve">оценки эффективности </w:t>
      </w:r>
      <w:r w:rsidR="00D6431D" w:rsidRPr="00585454">
        <w:rPr>
          <w:b/>
          <w:color w:val="000000" w:themeColor="text1"/>
        </w:rPr>
        <w:t>технических</w:t>
      </w:r>
      <w:r w:rsidRPr="00585454">
        <w:rPr>
          <w:b/>
          <w:color w:val="000000" w:themeColor="text1"/>
        </w:rPr>
        <w:t xml:space="preserve"> налоговых расходов</w:t>
      </w:r>
      <w:r w:rsidRPr="00585454">
        <w:rPr>
          <w:b/>
          <w:bCs/>
        </w:rPr>
        <w:t xml:space="preserve"> </w:t>
      </w:r>
      <w:r w:rsidR="00585454" w:rsidRPr="00585454">
        <w:rPr>
          <w:b/>
          <w:bCs/>
        </w:rPr>
        <w:t xml:space="preserve">Ягодно-Полянского муниципального образования </w:t>
      </w:r>
      <w:r w:rsidR="00E94834" w:rsidRPr="00585454">
        <w:rPr>
          <w:b/>
          <w:bCs/>
        </w:rPr>
        <w:t>Татищевского муниципального района Саратовской области</w:t>
      </w:r>
    </w:p>
    <w:p w:rsidR="006D63C3" w:rsidRPr="00585454" w:rsidRDefault="006D63C3" w:rsidP="006D63C3">
      <w:pPr>
        <w:rPr>
          <w:rFonts w:ascii="Times New Roman" w:hAnsi="Times New Roman" w:cs="Times New Roman"/>
          <w:sz w:val="28"/>
          <w:szCs w:val="28"/>
        </w:rPr>
      </w:pPr>
    </w:p>
    <w:p w:rsidR="002D2018" w:rsidRPr="000F6C9C" w:rsidRDefault="002D2018" w:rsidP="002D2018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454">
        <w:rPr>
          <w:rFonts w:ascii="Times New Roman" w:hAnsi="Times New Roman" w:cs="Times New Roman"/>
          <w:sz w:val="28"/>
          <w:szCs w:val="28"/>
        </w:rPr>
        <w:t>Целью применения технических налоговых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расходов является оптимизация встречных бюджетных финансовых потоков.</w:t>
      </w:r>
    </w:p>
    <w:p w:rsidR="0053027E" w:rsidRDefault="0053027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Вып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ие доходы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юдж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а </w:t>
      </w:r>
      <w:r w:rsidR="00E94834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ной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й 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ому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гу 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муниципальны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финансируемы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бюджетов различных уровней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</w:t>
      </w:r>
    </w:p>
    <w:p w:rsidR="00DB4C1E" w:rsidRPr="00596AE6" w:rsidRDefault="00DB4C1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96AE6">
        <w:rPr>
          <w:rFonts w:ascii="Times New Roman" w:hAnsi="Times New Roman" w:cs="Times New Roman"/>
          <w:sz w:val="28"/>
          <w:szCs w:val="28"/>
        </w:rPr>
        <w:t xml:space="preserve">- </w:t>
      </w:r>
      <w:r w:rsidR="00585454">
        <w:rPr>
          <w:rFonts w:ascii="Times New Roman" w:hAnsi="Times New Roman" w:cs="Times New Roman"/>
          <w:sz w:val="28"/>
          <w:szCs w:val="28"/>
        </w:rPr>
        <w:t>725</w:t>
      </w:r>
      <w:r w:rsidR="00144D7F">
        <w:rPr>
          <w:rFonts w:ascii="Times New Roman" w:hAnsi="Times New Roman" w:cs="Times New Roman"/>
          <w:sz w:val="28"/>
          <w:szCs w:val="28"/>
        </w:rPr>
        <w:t>,0</w:t>
      </w:r>
      <w:r w:rsidRPr="00596AE6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144D7F">
        <w:rPr>
          <w:rFonts w:ascii="Times New Roman" w:hAnsi="Times New Roman" w:cs="Times New Roman"/>
          <w:sz w:val="28"/>
          <w:szCs w:val="28"/>
        </w:rPr>
        <w:t>2</w:t>
      </w:r>
      <w:r w:rsidRPr="00596AE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96AE6">
        <w:rPr>
          <w:rFonts w:ascii="Times New Roman" w:hAnsi="Times New Roman" w:cs="Times New Roman"/>
          <w:sz w:val="28"/>
          <w:szCs w:val="28"/>
        </w:rPr>
        <w:t>;</w:t>
      </w:r>
    </w:p>
    <w:p w:rsidR="0053027E" w:rsidRPr="00596AE6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A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5454">
        <w:rPr>
          <w:rFonts w:ascii="Times New Roman" w:eastAsia="Times New Roman" w:hAnsi="Times New Roman" w:cs="Times New Roman"/>
          <w:sz w:val="28"/>
          <w:szCs w:val="28"/>
        </w:rPr>
        <w:t>552</w:t>
      </w:r>
      <w:r w:rsidR="00144D7F">
        <w:rPr>
          <w:rFonts w:ascii="Times New Roman" w:eastAsia="Times New Roman" w:hAnsi="Times New Roman" w:cs="Times New Roman"/>
          <w:sz w:val="28"/>
          <w:szCs w:val="28"/>
        </w:rPr>
        <w:t>,0</w:t>
      </w:r>
      <w:r w:rsidR="00596AE6" w:rsidRPr="0059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AE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96AE6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6AE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596AE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596AE6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596AE6" w:rsidRPr="00596AE6">
        <w:rPr>
          <w:rFonts w:ascii="Times New Roman" w:eastAsia="Times New Roman" w:hAnsi="Times New Roman" w:cs="Times New Roman"/>
          <w:sz w:val="28"/>
          <w:szCs w:val="28"/>
        </w:rPr>
        <w:t>й в 202</w:t>
      </w:r>
      <w:r w:rsidR="00144D7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AE6">
        <w:rPr>
          <w:rFonts w:ascii="Times New Roman" w:eastAsia="Times New Roman" w:hAnsi="Times New Roman" w:cs="Times New Roman"/>
          <w:sz w:val="28"/>
          <w:szCs w:val="28"/>
        </w:rPr>
        <w:t xml:space="preserve"> году;</w:t>
      </w:r>
    </w:p>
    <w:p w:rsidR="0053027E" w:rsidRPr="000F6C9C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AE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5454">
        <w:rPr>
          <w:rFonts w:ascii="Times New Roman" w:eastAsia="Times New Roman" w:hAnsi="Times New Roman" w:cs="Times New Roman"/>
          <w:sz w:val="28"/>
          <w:szCs w:val="28"/>
        </w:rPr>
        <w:t>110</w:t>
      </w:r>
      <w:r w:rsidR="00144D7F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Pr="00596AE6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144D7F">
        <w:rPr>
          <w:rFonts w:ascii="Times New Roman" w:eastAsia="Times New Roman" w:hAnsi="Times New Roman" w:cs="Times New Roman"/>
          <w:sz w:val="28"/>
          <w:szCs w:val="28"/>
        </w:rPr>
        <w:t>.рублей в 2020</w:t>
      </w:r>
      <w:r w:rsidRPr="00596AE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596AE6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="00D55BCE" w:rsidRPr="00596AE6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6D63C3" w:rsidRPr="000F6C9C" w:rsidRDefault="0053027E" w:rsidP="0053027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Технические налоговые расходы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5BCE" w:rsidRPr="000F6C9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4834">
        <w:rPr>
          <w:rFonts w:ascii="Times New Roman" w:hAnsi="Times New Roman" w:cs="Times New Roman"/>
          <w:bCs/>
          <w:sz w:val="28"/>
          <w:szCs w:val="28"/>
        </w:rPr>
        <w:t xml:space="preserve">Татищевского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E94834"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6D63C3" w:rsidRPr="00596AE6">
        <w:rPr>
          <w:rFonts w:ascii="Times New Roman" w:hAnsi="Times New Roman" w:cs="Times New Roman"/>
          <w:bCs/>
          <w:sz w:val="28"/>
          <w:szCs w:val="28"/>
        </w:rPr>
        <w:t>2030 года</w:t>
      </w:r>
      <w:r w:rsidR="00190680" w:rsidRPr="000F6C9C">
        <w:rPr>
          <w:rFonts w:ascii="Times New Roman" w:hAnsi="Times New Roman" w:cs="Times New Roman"/>
          <w:bCs/>
          <w:sz w:val="28"/>
          <w:szCs w:val="28"/>
        </w:rPr>
        <w:t xml:space="preserve"> в части </w:t>
      </w:r>
      <w:r w:rsidR="00190680" w:rsidRPr="000F6C9C">
        <w:rPr>
          <w:rFonts w:ascii="Times New Roman" w:hAnsi="Times New Roman" w:cs="Times New Roman"/>
          <w:sz w:val="28"/>
          <w:szCs w:val="28"/>
        </w:rPr>
        <w:t>совершенствования методов планирования и управления бюджетным процессом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, являются востребованными, не несут в себе значимых отрицательных внешних эффектов</w:t>
      </w:r>
      <w:r w:rsidR="008A7D35" w:rsidRPr="000F6C9C">
        <w:rPr>
          <w:rFonts w:ascii="Times New Roman" w:hAnsi="Times New Roman" w:cs="Times New Roman"/>
          <w:sz w:val="28"/>
          <w:szCs w:val="28"/>
        </w:rPr>
        <w:t xml:space="preserve"> в отношении экономического развития муниципального образования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, имеют положительные индикаторы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0F6C9C">
        <w:rPr>
          <w:rFonts w:ascii="Times New Roman" w:hAnsi="Times New Roman" w:cs="Times New Roman"/>
          <w:bCs/>
          <w:sz w:val="28"/>
          <w:szCs w:val="28"/>
        </w:rPr>
        <w:t xml:space="preserve"> эффективности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 xml:space="preserve">и поэтому </w:t>
      </w:r>
      <w:r w:rsidRPr="000F6C9C">
        <w:rPr>
          <w:rFonts w:ascii="Times New Roman" w:hAnsi="Times New Roman" w:cs="Times New Roman"/>
          <w:sz w:val="28"/>
          <w:szCs w:val="28"/>
        </w:rPr>
        <w:t>при</w:t>
      </w:r>
      <w:r w:rsidR="006D63C3" w:rsidRPr="000F6C9C">
        <w:rPr>
          <w:rFonts w:ascii="Times New Roman" w:hAnsi="Times New Roman" w:cs="Times New Roman"/>
          <w:sz w:val="28"/>
          <w:szCs w:val="28"/>
        </w:rPr>
        <w:t>знаются эффективными и не требующими отмены.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3. Оценка эффективности стимулирующих налоговых расходов</w:t>
      </w:r>
      <w:r w:rsidRPr="000F6C9C">
        <w:rPr>
          <w:b/>
          <w:bCs/>
        </w:rPr>
        <w:t xml:space="preserve"> </w:t>
      </w:r>
      <w:r w:rsidR="00585454">
        <w:rPr>
          <w:b/>
          <w:bCs/>
        </w:rPr>
        <w:t xml:space="preserve">Ягодно-Полянского муниципального образования </w:t>
      </w:r>
      <w:r w:rsidR="00E94834">
        <w:rPr>
          <w:b/>
          <w:bCs/>
        </w:rPr>
        <w:t>Татищевского муниципального района Саратовской области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3.1 Оценка целесообразности стимулирующих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3.1.1 Соответствие стимулирующих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76"/>
        <w:gridCol w:w="3462"/>
      </w:tblGrid>
      <w:tr w:rsidR="00C807E8" w:rsidRPr="000F6C9C" w:rsidTr="0019301C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62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19301C">
        <w:tc>
          <w:tcPr>
            <w:tcW w:w="4077" w:type="dxa"/>
          </w:tcPr>
          <w:p w:rsidR="0023642A" w:rsidRPr="000F6C9C" w:rsidRDefault="00547454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О</w:t>
            </w:r>
            <w:r w:rsidR="0023642A" w:rsidRPr="000F6C9C">
              <w:rPr>
                <w:bCs/>
              </w:rPr>
              <w:t xml:space="preserve">свобождение от уплаты земельного налога: </w:t>
            </w:r>
          </w:p>
          <w:p w:rsidR="00C807E8" w:rsidRPr="000F6C9C" w:rsidRDefault="0023642A" w:rsidP="00230DC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физическое лицо, зарегистрированное в качестве индивидуального предпринимателя или юридическое лицо</w:t>
            </w:r>
            <w:r w:rsidR="00596AE6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5454" w:rsidRPr="000F6C9C">
              <w:rPr>
                <w:rFonts w:ascii="Times New Roman" w:hAnsi="Times New Roman" w:cs="Times New Roman"/>
                <w:sz w:val="28"/>
                <w:szCs w:val="28"/>
              </w:rPr>
              <w:t>инвестор, зарегистрированный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E94834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</w:t>
            </w:r>
            <w:r w:rsidR="00585454">
              <w:rPr>
                <w:rFonts w:ascii="Times New Roman" w:hAnsi="Times New Roman" w:cs="Times New Roman"/>
                <w:sz w:val="28"/>
                <w:szCs w:val="28"/>
              </w:rPr>
              <w:t>области и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 xml:space="preserve"> заключившим инвестиционное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AE6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(льгота в размере </w:t>
            </w:r>
            <w:r w:rsidR="00547454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784D" w:rsidRPr="000F6C9C" w:rsidRDefault="00DF784D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C807E8" w:rsidRPr="00596AE6" w:rsidRDefault="00C807E8" w:rsidP="00596AE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596AE6">
              <w:rPr>
                <w:bCs/>
              </w:rPr>
              <w:t xml:space="preserve">Стратегия социально-экономического развития </w:t>
            </w:r>
            <w:r w:rsidR="00596AE6" w:rsidRPr="00596AE6">
              <w:rPr>
                <w:bCs/>
              </w:rPr>
              <w:t>Татищевского</w:t>
            </w:r>
            <w:r w:rsidR="004E2B24" w:rsidRPr="00596AE6">
              <w:rPr>
                <w:bCs/>
              </w:rPr>
              <w:t xml:space="preserve"> </w:t>
            </w:r>
            <w:r w:rsidRPr="00596AE6">
              <w:rPr>
                <w:bCs/>
              </w:rPr>
              <w:t>муниципального района до 2030 года</w:t>
            </w:r>
          </w:p>
        </w:tc>
        <w:tc>
          <w:tcPr>
            <w:tcW w:w="3462" w:type="dxa"/>
          </w:tcPr>
          <w:p w:rsidR="008275CE" w:rsidRPr="00D72149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D72149">
              <w:t xml:space="preserve">- Приоритет: </w:t>
            </w:r>
            <w:r w:rsidR="00596AE6" w:rsidRPr="00D72149">
              <w:t>с</w:t>
            </w:r>
            <w:r w:rsidR="008275CE" w:rsidRPr="00D72149">
              <w:t xml:space="preserve">ильная экономика </w:t>
            </w:r>
          </w:p>
          <w:p w:rsidR="008275CE" w:rsidRPr="00D72149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D72149">
              <w:rPr>
                <w:sz w:val="28"/>
                <w:szCs w:val="28"/>
              </w:rPr>
              <w:t xml:space="preserve">(Задача: </w:t>
            </w:r>
            <w:r w:rsidR="00596AE6" w:rsidRPr="00D72149">
              <w:rPr>
                <w:color w:val="000000"/>
                <w:sz w:val="28"/>
                <w:szCs w:val="28"/>
              </w:rPr>
              <w:t>д</w:t>
            </w:r>
            <w:r w:rsidRPr="00D72149">
              <w:rPr>
                <w:color w:val="000000"/>
                <w:sz w:val="28"/>
                <w:szCs w:val="28"/>
              </w:rPr>
              <w:t xml:space="preserve">остижение качественно нового уровня конкурентоспособности экономики </w:t>
            </w:r>
            <w:r w:rsidR="00D72149" w:rsidRPr="00D72149">
              <w:rPr>
                <w:color w:val="000000"/>
                <w:sz w:val="28"/>
                <w:szCs w:val="28"/>
              </w:rPr>
              <w:t>Татищевского</w:t>
            </w:r>
            <w:r w:rsidR="00547454" w:rsidRPr="00D72149">
              <w:rPr>
                <w:color w:val="000000"/>
                <w:sz w:val="28"/>
                <w:szCs w:val="28"/>
              </w:rPr>
              <w:t xml:space="preserve"> </w:t>
            </w:r>
            <w:r w:rsidRPr="00D72149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C807E8" w:rsidRPr="00E94834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  <w:highlight w:val="yellow"/>
              </w:rPr>
            </w:pPr>
            <w:r w:rsidRPr="00D72149">
              <w:rPr>
                <w:color w:val="000000"/>
                <w:sz w:val="28"/>
                <w:szCs w:val="28"/>
              </w:rPr>
              <w:t>на базе инноваций и развития новых бизнесов)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3.1.2 Востребованность стимулирующих налоговых расходов:</w:t>
      </w:r>
    </w:p>
    <w:p w:rsidR="00A05D6A" w:rsidRPr="000F6C9C" w:rsidRDefault="00A05D6A" w:rsidP="00BD60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2D9" w:rsidRPr="00EA62D9" w:rsidRDefault="00BD608D" w:rsidP="00EA6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20</w:t>
      </w:r>
      <w:r w:rsidR="00DB4C1E">
        <w:rPr>
          <w:rFonts w:ascii="Times New Roman" w:hAnsi="Times New Roman" w:cs="Times New Roman"/>
          <w:sz w:val="28"/>
          <w:szCs w:val="28"/>
        </w:rPr>
        <w:t>2</w:t>
      </w:r>
      <w:r w:rsidR="00AE1FC8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году стимулирующ</w:t>
      </w:r>
      <w:r w:rsidR="008A6695">
        <w:rPr>
          <w:rFonts w:ascii="Times New Roman" w:hAnsi="Times New Roman" w:cs="Times New Roman"/>
          <w:sz w:val="28"/>
          <w:szCs w:val="28"/>
        </w:rPr>
        <w:t>ая льгота</w:t>
      </w:r>
      <w:r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="008A6695">
        <w:rPr>
          <w:rFonts w:ascii="Times New Roman" w:hAnsi="Times New Roman" w:cs="Times New Roman"/>
          <w:sz w:val="28"/>
          <w:szCs w:val="28"/>
        </w:rPr>
        <w:t xml:space="preserve"> не предоставлялась. Однако, для достижения качественно нового уровня конкурентноспособности экономики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19582F">
        <w:rPr>
          <w:rFonts w:ascii="Times New Roman" w:hAnsi="Times New Roman" w:cs="Times New Roman"/>
          <w:sz w:val="28"/>
          <w:szCs w:val="28"/>
        </w:rPr>
        <w:t xml:space="preserve">Ягодно-Полянского муниципального образования </w:t>
      </w:r>
      <w:r w:rsidR="008A6695">
        <w:rPr>
          <w:rFonts w:ascii="Times New Roman" w:hAnsi="Times New Roman" w:cs="Times New Roman"/>
          <w:sz w:val="28"/>
          <w:szCs w:val="28"/>
        </w:rPr>
        <w:t xml:space="preserve">Татищевского муниципального района Саратовской области, привлечения инвестиций на </w:t>
      </w:r>
      <w:r w:rsidR="00EA62D9">
        <w:rPr>
          <w:rFonts w:ascii="Times New Roman" w:hAnsi="Times New Roman" w:cs="Times New Roman"/>
          <w:sz w:val="28"/>
          <w:szCs w:val="28"/>
        </w:rPr>
        <w:t xml:space="preserve">территорию муниципального района, а также обеспечения благоприятного инвестиционного климата на территории </w:t>
      </w:r>
      <w:r w:rsidR="001958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A62D9">
        <w:rPr>
          <w:rFonts w:ascii="Times New Roman" w:hAnsi="Times New Roman" w:cs="Times New Roman"/>
          <w:sz w:val="28"/>
          <w:szCs w:val="28"/>
        </w:rPr>
        <w:t xml:space="preserve"> администрацией проводится</w:t>
      </w:r>
      <w:r w:rsidR="00EA62D9" w:rsidRPr="00EA62D9">
        <w:rPr>
          <w:rFonts w:ascii="Times New Roman" w:hAnsi="Times New Roman" w:cs="Times New Roman"/>
          <w:sz w:val="28"/>
          <w:szCs w:val="28"/>
        </w:rPr>
        <w:t xml:space="preserve"> большая работа по внедрению Стандарта деятельности органов местного самоуправления по обеспечению вышеуказанных мероприятий.</w:t>
      </w:r>
    </w:p>
    <w:p w:rsidR="00EA62D9" w:rsidRPr="000F6C9C" w:rsidRDefault="00EA62D9" w:rsidP="008A66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08D" w:rsidRPr="000F6C9C" w:rsidRDefault="00BD608D" w:rsidP="00884D20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3.1.3 Отсутствие значимых отрицательных внешних эффектов:</w:t>
      </w:r>
    </w:p>
    <w:p w:rsidR="00CB101D" w:rsidRPr="000F6C9C" w:rsidRDefault="00CB101D" w:rsidP="00EB480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6510B7" w:rsidRPr="000F6C9C" w:rsidRDefault="0040757A" w:rsidP="00EB480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Style w:val="FontStyle38"/>
          <w:sz w:val="28"/>
          <w:szCs w:val="28"/>
        </w:rPr>
        <w:t>Основной целью введения с</w:t>
      </w:r>
      <w:r w:rsidR="003D6054" w:rsidRPr="000F6C9C">
        <w:rPr>
          <w:rStyle w:val="FontStyle38"/>
          <w:sz w:val="28"/>
          <w:szCs w:val="28"/>
        </w:rPr>
        <w:t>тимулирующи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налоговы</w:t>
      </w:r>
      <w:r w:rsidRPr="000F6C9C">
        <w:rPr>
          <w:rStyle w:val="FontStyle38"/>
          <w:sz w:val="28"/>
          <w:szCs w:val="28"/>
        </w:rPr>
        <w:t>х</w:t>
      </w:r>
      <w:r w:rsidR="003D6054" w:rsidRPr="000F6C9C">
        <w:rPr>
          <w:rStyle w:val="FontStyle38"/>
          <w:sz w:val="28"/>
          <w:szCs w:val="28"/>
        </w:rPr>
        <w:t xml:space="preserve"> расход</w:t>
      </w:r>
      <w:r w:rsidRPr="000F6C9C">
        <w:rPr>
          <w:rStyle w:val="FontStyle38"/>
          <w:sz w:val="28"/>
          <w:szCs w:val="28"/>
        </w:rPr>
        <w:t>ов</w:t>
      </w:r>
      <w:r w:rsidR="00EA62D9">
        <w:rPr>
          <w:rStyle w:val="FontStyle38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является повышение конкурентоспособности экономики</w:t>
      </w:r>
      <w:r w:rsidR="0019582F">
        <w:rPr>
          <w:rStyle w:val="FontStyle38"/>
          <w:sz w:val="28"/>
          <w:szCs w:val="28"/>
        </w:rPr>
        <w:t xml:space="preserve"> Ягодно-Полянского муниципального образования</w:t>
      </w:r>
      <w:r w:rsidRPr="000F6C9C">
        <w:rPr>
          <w:rStyle w:val="FontStyle38"/>
          <w:sz w:val="28"/>
          <w:szCs w:val="28"/>
        </w:rPr>
        <w:t xml:space="preserve"> </w:t>
      </w:r>
      <w:r w:rsidR="00EA62D9">
        <w:rPr>
          <w:rStyle w:val="FontStyle38"/>
          <w:sz w:val="28"/>
          <w:szCs w:val="28"/>
        </w:rPr>
        <w:t>Татищевского муниципального района Саратовской области</w:t>
      </w:r>
      <w:r w:rsidRPr="000F6C9C">
        <w:rPr>
          <w:rStyle w:val="FontStyle38"/>
          <w:sz w:val="28"/>
          <w:szCs w:val="28"/>
        </w:rPr>
        <w:t xml:space="preserve"> посредством </w:t>
      </w:r>
      <w:r w:rsidR="00EB480D" w:rsidRPr="000F6C9C">
        <w:rPr>
          <w:rStyle w:val="FontStyle38"/>
          <w:sz w:val="28"/>
          <w:szCs w:val="28"/>
        </w:rPr>
        <w:t xml:space="preserve">роста показателей деятельности промышленного производства </w:t>
      </w:r>
      <w:r w:rsidR="00247906" w:rsidRPr="000F6C9C">
        <w:rPr>
          <w:rStyle w:val="FontStyle38"/>
          <w:sz w:val="28"/>
          <w:szCs w:val="28"/>
        </w:rPr>
        <w:t>и</w:t>
      </w:r>
      <w:r w:rsidR="00EB480D" w:rsidRPr="000F6C9C">
        <w:rPr>
          <w:rStyle w:val="FontStyle38"/>
          <w:sz w:val="28"/>
          <w:szCs w:val="28"/>
        </w:rPr>
        <w:t xml:space="preserve"> создани</w:t>
      </w:r>
      <w:r w:rsidR="00247906" w:rsidRPr="000F6C9C">
        <w:rPr>
          <w:rStyle w:val="FontStyle38"/>
          <w:sz w:val="28"/>
          <w:szCs w:val="28"/>
        </w:rPr>
        <w:t>я</w:t>
      </w:r>
      <w:r w:rsidR="00EB480D" w:rsidRPr="000F6C9C">
        <w:rPr>
          <w:rStyle w:val="FontStyle38"/>
          <w:sz w:val="28"/>
          <w:szCs w:val="28"/>
        </w:rPr>
        <w:t xml:space="preserve"> новых </w:t>
      </w:r>
      <w:r w:rsidRPr="000F6C9C">
        <w:rPr>
          <w:rStyle w:val="FontStyle38"/>
          <w:sz w:val="28"/>
          <w:szCs w:val="28"/>
        </w:rPr>
        <w:t>бизнес-проектов</w:t>
      </w:r>
      <w:r w:rsidR="00EB480D" w:rsidRPr="000F6C9C">
        <w:rPr>
          <w:rStyle w:val="FontStyle38"/>
          <w:sz w:val="28"/>
          <w:szCs w:val="28"/>
        </w:rPr>
        <w:t>.</w:t>
      </w:r>
      <w:r w:rsidR="00EA62D9">
        <w:rPr>
          <w:rStyle w:val="FontStyle38"/>
          <w:sz w:val="28"/>
          <w:szCs w:val="28"/>
        </w:rPr>
        <w:t xml:space="preserve"> </w:t>
      </w:r>
    </w:p>
    <w:p w:rsidR="003D6054" w:rsidRPr="000F6C9C" w:rsidRDefault="003D6054" w:rsidP="006510B7">
      <w:pPr>
        <w:autoSpaceDE w:val="0"/>
        <w:autoSpaceDN w:val="0"/>
        <w:adjustRightInd w:val="0"/>
        <w:ind w:firstLine="540"/>
        <w:jc w:val="both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>Стимулирующие налоговые расходы не оказывают отрицательного влияния на показатели достижения целей социально-экономической политики</w:t>
      </w:r>
      <w:r w:rsidR="0019582F">
        <w:rPr>
          <w:rStyle w:val="FontStyle38"/>
          <w:sz w:val="28"/>
          <w:szCs w:val="28"/>
        </w:rPr>
        <w:t xml:space="preserve"> Ягодно-Полянского муниципального образования</w:t>
      </w:r>
      <w:r w:rsidRPr="000F6C9C">
        <w:rPr>
          <w:rStyle w:val="FontStyle38"/>
          <w:sz w:val="28"/>
          <w:szCs w:val="28"/>
        </w:rPr>
        <w:t xml:space="preserve"> </w:t>
      </w:r>
      <w:r w:rsidR="00EA62D9">
        <w:rPr>
          <w:rStyle w:val="FontStyle38"/>
          <w:sz w:val="28"/>
          <w:szCs w:val="28"/>
        </w:rPr>
        <w:t xml:space="preserve">Татищевского муниципального района Саратовской </w:t>
      </w:r>
      <w:r w:rsidR="0019582F">
        <w:rPr>
          <w:rStyle w:val="FontStyle38"/>
          <w:sz w:val="28"/>
          <w:szCs w:val="28"/>
        </w:rPr>
        <w:t xml:space="preserve">области </w:t>
      </w:r>
      <w:r w:rsidR="0019582F" w:rsidRPr="000F6C9C">
        <w:rPr>
          <w:rStyle w:val="FontStyle38"/>
          <w:sz w:val="28"/>
          <w:szCs w:val="28"/>
        </w:rPr>
        <w:t>в</w:t>
      </w:r>
      <w:r w:rsidRPr="000F6C9C">
        <w:rPr>
          <w:rStyle w:val="FontStyle38"/>
          <w:sz w:val="28"/>
          <w:szCs w:val="28"/>
        </w:rPr>
        <w:t xml:space="preserve"> целом.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19301C" w:rsidRPr="0019301C" w:rsidRDefault="0019582F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>Глава Ягодно-Полянского муниципального образования</w:t>
      </w:r>
    </w:p>
    <w:p w:rsidR="009C07F4" w:rsidRDefault="009C07F4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Татищевского </w:t>
      </w:r>
      <w:r w:rsidR="009A78FF" w:rsidRPr="0019301C">
        <w:rPr>
          <w:color w:val="000000" w:themeColor="text1"/>
        </w:rPr>
        <w:t xml:space="preserve">муниципального района  </w:t>
      </w:r>
    </w:p>
    <w:p w:rsidR="009A78FF" w:rsidRPr="0019301C" w:rsidRDefault="009C07F4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Саратовской области                       </w:t>
      </w:r>
      <w:r w:rsidR="009A78FF" w:rsidRPr="0019301C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                                       </w:t>
      </w:r>
      <w:r w:rsidR="009A78FF" w:rsidRPr="0019301C">
        <w:rPr>
          <w:color w:val="000000" w:themeColor="text1"/>
        </w:rPr>
        <w:t xml:space="preserve">   </w:t>
      </w:r>
      <w:r w:rsidR="0019582F">
        <w:rPr>
          <w:color w:val="000000" w:themeColor="text1"/>
        </w:rPr>
        <w:t>Т.И.Федорова</w:t>
      </w: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A78FF" w:rsidRPr="0019301C" w:rsidRDefault="0019582F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>01</w:t>
      </w:r>
      <w:r w:rsidR="0036117B">
        <w:rPr>
          <w:color w:val="000000" w:themeColor="text1"/>
        </w:rPr>
        <w:t xml:space="preserve"> </w:t>
      </w:r>
      <w:r>
        <w:rPr>
          <w:color w:val="000000" w:themeColor="text1"/>
        </w:rPr>
        <w:t>сентября</w:t>
      </w:r>
      <w:r w:rsidR="000F6C9C" w:rsidRPr="0019301C">
        <w:rPr>
          <w:color w:val="000000" w:themeColor="text1"/>
        </w:rPr>
        <w:t xml:space="preserve">  202</w:t>
      </w:r>
      <w:r w:rsidR="00AE1FC8">
        <w:rPr>
          <w:color w:val="000000" w:themeColor="text1"/>
        </w:rPr>
        <w:t>3</w:t>
      </w:r>
      <w:r w:rsidR="009C07F4">
        <w:rPr>
          <w:color w:val="000000" w:themeColor="text1"/>
        </w:rPr>
        <w:t xml:space="preserve"> </w:t>
      </w:r>
      <w:r w:rsidR="000F6C9C" w:rsidRPr="0019301C">
        <w:rPr>
          <w:color w:val="000000" w:themeColor="text1"/>
        </w:rPr>
        <w:t>года</w:t>
      </w:r>
    </w:p>
    <w:p w:rsidR="009C0A68" w:rsidRPr="000F6C9C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  <w:bookmarkStart w:id="1" w:name="P25"/>
      <w:bookmarkEnd w:id="1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B96A9A">
          <w:pgSz w:w="11900" w:h="16840"/>
          <w:pgMar w:top="340" w:right="567" w:bottom="340" w:left="1134" w:header="0" w:footer="6" w:gutter="0"/>
          <w:cols w:space="720"/>
          <w:noEndnote/>
          <w:docGrid w:linePitch="360"/>
        </w:sectPr>
      </w:pPr>
    </w:p>
    <w:p w:rsidR="00932711" w:rsidRPr="00A00659" w:rsidRDefault="00932711" w:rsidP="00932711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932711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11" w:rsidRPr="00A00659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932711" w:rsidRPr="00A00659" w:rsidRDefault="00932711" w:rsidP="009327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потерь бюджета</w:t>
      </w:r>
      <w:r w:rsidR="0019582F">
        <w:rPr>
          <w:rFonts w:ascii="Times New Roman" w:hAnsi="Times New Roman" w:cs="Times New Roman"/>
          <w:b/>
          <w:sz w:val="28"/>
          <w:szCs w:val="28"/>
        </w:rPr>
        <w:t xml:space="preserve"> Ягодно-Полянского  муниципального образования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Саратовской области </w:t>
      </w:r>
      <w:r w:rsidRPr="00A00659">
        <w:rPr>
          <w:rFonts w:ascii="Times New Roman" w:hAnsi="Times New Roman" w:cs="Times New Roman"/>
          <w:b/>
          <w:sz w:val="28"/>
          <w:szCs w:val="28"/>
        </w:rPr>
        <w:t>по причине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предоставления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932711" w:rsidRPr="00A00659" w:rsidRDefault="00932711" w:rsidP="00932711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84"/>
        <w:gridCol w:w="4110"/>
        <w:gridCol w:w="2695"/>
        <w:gridCol w:w="3401"/>
      </w:tblGrid>
      <w:tr w:rsidR="00932711" w:rsidRPr="00A00659" w:rsidTr="00714644">
        <w:tc>
          <w:tcPr>
            <w:tcW w:w="567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962" w:type="dxa"/>
            <w:gridSpan w:val="2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932711" w:rsidRPr="000B42D9" w:rsidRDefault="00932711" w:rsidP="00932711">
            <w:pPr>
              <w:pStyle w:val="a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</w:p>
        </w:tc>
        <w:tc>
          <w:tcPr>
            <w:tcW w:w="2695" w:type="dxa"/>
            <w:vAlign w:val="center"/>
          </w:tcPr>
          <w:p w:rsidR="00932711" w:rsidRPr="000B42D9" w:rsidRDefault="00932711" w:rsidP="00932711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22</w:t>
            </w:r>
          </w:p>
        </w:tc>
        <w:tc>
          <w:tcPr>
            <w:tcW w:w="3401" w:type="dxa"/>
            <w:vAlign w:val="center"/>
          </w:tcPr>
          <w:p w:rsidR="00932711" w:rsidRPr="000B42D9" w:rsidRDefault="00932711" w:rsidP="00714644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932711" w:rsidRPr="00A00659" w:rsidTr="00714644">
        <w:tc>
          <w:tcPr>
            <w:tcW w:w="15735" w:type="dxa"/>
            <w:gridSpan w:val="6"/>
          </w:tcPr>
          <w:p w:rsidR="00932711" w:rsidRPr="00AB3811" w:rsidRDefault="00932711" w:rsidP="00714644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932711" w:rsidRPr="00A00659" w:rsidTr="00714644">
        <w:tc>
          <w:tcPr>
            <w:tcW w:w="15735" w:type="dxa"/>
            <w:gridSpan w:val="6"/>
          </w:tcPr>
          <w:p w:rsidR="00932711" w:rsidRPr="00AA5A06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932711" w:rsidRPr="00AB3811" w:rsidRDefault="00932711" w:rsidP="00714644">
            <w:pPr>
              <w:widowControl/>
              <w:rPr>
                <w:rFonts w:ascii="Times New Roman" w:hAnsi="Times New Roman" w:cs="Times New Roman"/>
                <w:b/>
              </w:rPr>
            </w:pPr>
            <w:r w:rsidRPr="00AB3811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  <w:r>
              <w:rPr>
                <w:rFonts w:ascii="Times New Roman" w:hAnsi="Times New Roman" w:cs="Times New Roman"/>
                <w:b/>
              </w:rPr>
              <w:t>ветераны и инвалиды ВОВ</w:t>
            </w: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932711" w:rsidRPr="001C3BA6" w:rsidRDefault="00932711" w:rsidP="00714644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AB3811">
              <w:rPr>
                <w:b/>
              </w:rPr>
              <w:t xml:space="preserve">Вид налоговой </w:t>
            </w:r>
            <w:r w:rsidRPr="001C3BA6">
              <w:rPr>
                <w:b/>
              </w:rPr>
              <w:t xml:space="preserve">льготы: </w:t>
            </w:r>
            <w:r w:rsidRPr="001C3BA6">
              <w:rPr>
                <w:rFonts w:eastAsia="Times New Roman"/>
                <w:b/>
                <w:color w:val="000000"/>
              </w:rPr>
              <w:t>освобождение от налогообложения по решениям представительного органа муниципального образования</w:t>
            </w:r>
            <w:r>
              <w:rPr>
                <w:rFonts w:eastAsia="Times New Roman"/>
                <w:b/>
                <w:color w:val="000000"/>
              </w:rPr>
              <w:t xml:space="preserve"> (согласно ст. 387 НК РФ)</w:t>
            </w: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CF2FAB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952 093</w:t>
            </w:r>
          </w:p>
        </w:tc>
        <w:tc>
          <w:tcPr>
            <w:tcW w:w="2695" w:type="dxa"/>
            <w:vAlign w:val="center"/>
          </w:tcPr>
          <w:p w:rsidR="00932711" w:rsidRPr="00E60567" w:rsidRDefault="00CF2FAB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1 051 568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D3822" w:rsidRDefault="00CF2FAB" w:rsidP="004D609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2695" w:type="dxa"/>
            <w:vAlign w:val="center"/>
          </w:tcPr>
          <w:p w:rsidR="00932711" w:rsidRPr="005D3822" w:rsidRDefault="00CF2FAB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186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частичном </w:t>
            </w:r>
            <w:r w:rsidR="0019582F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19582F" w:rsidRPr="00AB3811">
              <w:rPr>
                <w:rFonts w:ascii="Times New Roman" w:hAnsi="Times New Roman" w:cs="Times New Roman"/>
                <w:sz w:val="20"/>
                <w:szCs w:val="20"/>
              </w:rPr>
              <w:t>полном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свобождении от</w:t>
            </w:r>
          </w:p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932711" w:rsidP="00714644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932711" w:rsidRPr="00E60567" w:rsidRDefault="00932711" w:rsidP="00714644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4D6090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2 234</w:t>
            </w:r>
          </w:p>
        </w:tc>
        <w:tc>
          <w:tcPr>
            <w:tcW w:w="2695" w:type="dxa"/>
            <w:vAlign w:val="center"/>
          </w:tcPr>
          <w:p w:rsidR="00932711" w:rsidRPr="00E60567" w:rsidRDefault="0019582F" w:rsidP="0019582F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2 550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4D6090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932711" w:rsidRPr="00E60567" w:rsidRDefault="0019582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932711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4D6090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932711" w:rsidRPr="00E60567" w:rsidRDefault="0019582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4D6090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932711" w:rsidRPr="00E60567" w:rsidRDefault="0019582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00659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E2B21" w:rsidRDefault="004D6090" w:rsidP="00741F0C">
            <w:pPr>
              <w:pStyle w:val="af"/>
              <w:jc w:val="center"/>
            </w:pPr>
            <w:r>
              <w:t>0</w:t>
            </w:r>
          </w:p>
        </w:tc>
        <w:tc>
          <w:tcPr>
            <w:tcW w:w="2695" w:type="dxa"/>
            <w:vAlign w:val="center"/>
          </w:tcPr>
          <w:p w:rsidR="00932711" w:rsidRPr="00E60567" w:rsidRDefault="0019582F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14644">
        <w:tc>
          <w:tcPr>
            <w:tcW w:w="15735" w:type="dxa"/>
            <w:gridSpan w:val="6"/>
            <w:vAlign w:val="center"/>
          </w:tcPr>
          <w:p w:rsidR="00932711" w:rsidRPr="00522A09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932711" w:rsidRPr="00522A09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Наименование льготной категории получателей налоговых льгот: налогоплательщики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- </w:t>
            </w:r>
            <w:r w:rsidRPr="00522A09">
              <w:rPr>
                <w:rFonts w:ascii="Times New Roman" w:hAnsi="Times New Roman" w:cs="Times New Roman"/>
                <w:b/>
                <w:color w:val="auto"/>
              </w:rPr>
              <w:t>органы местного самоуправления и муниципальные учреждения</w:t>
            </w:r>
            <w:r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Pr="009E54E4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932711" w:rsidRPr="00522A09" w:rsidRDefault="00932711" w:rsidP="0071464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Вид налоговой льготы: </w:t>
            </w:r>
            <w:r w:rsidRPr="00522A09">
              <w:rPr>
                <w:rFonts w:ascii="Times New Roman" w:eastAsia="Times New Roman" w:hAnsi="Times New Roman" w:cs="Times New Roman"/>
                <w:b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CF2FAB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203 318</w:t>
            </w:r>
          </w:p>
        </w:tc>
        <w:tc>
          <w:tcPr>
            <w:tcW w:w="2695" w:type="dxa"/>
            <w:vAlign w:val="center"/>
          </w:tcPr>
          <w:p w:rsidR="00932711" w:rsidRPr="00E60567" w:rsidRDefault="00CF2FAB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231 043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E60567" w:rsidRDefault="00CF2FAB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552</w:t>
            </w:r>
          </w:p>
        </w:tc>
        <w:tc>
          <w:tcPr>
            <w:tcW w:w="2695" w:type="dxa"/>
            <w:vAlign w:val="center"/>
          </w:tcPr>
          <w:p w:rsidR="00932711" w:rsidRPr="00E60567" w:rsidRDefault="00CF2FAB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725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При полном </w:t>
            </w:r>
          </w:p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22A09" w:rsidRDefault="00932711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932711" w:rsidRPr="00522A09" w:rsidRDefault="00932711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22A09" w:rsidRDefault="00932711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932711" w:rsidRPr="00522A09" w:rsidRDefault="00932711" w:rsidP="00714644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22A09" w:rsidRDefault="00F913CE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560</w:t>
            </w:r>
          </w:p>
        </w:tc>
        <w:tc>
          <w:tcPr>
            <w:tcW w:w="2695" w:type="dxa"/>
            <w:vAlign w:val="center"/>
          </w:tcPr>
          <w:p w:rsidR="00932711" w:rsidRPr="00522A09" w:rsidRDefault="00F913CE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Pr="00A00659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22A09" w:rsidRDefault="00F913CE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2695" w:type="dxa"/>
            <w:vAlign w:val="center"/>
          </w:tcPr>
          <w:p w:rsidR="00932711" w:rsidRPr="00522A09" w:rsidRDefault="00F913CE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932711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22A09" w:rsidRDefault="00F913CE" w:rsidP="00F913C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695" w:type="dxa"/>
            <w:vAlign w:val="center"/>
          </w:tcPr>
          <w:p w:rsidR="00932711" w:rsidRPr="00522A09" w:rsidRDefault="00F913CE" w:rsidP="00F913C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22A09" w:rsidRDefault="004122F8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932711" w:rsidRPr="00522A09" w:rsidRDefault="004122F8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932711" w:rsidRPr="00A00659" w:rsidRDefault="00932711" w:rsidP="0071464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932711" w:rsidRPr="006010BC" w:rsidRDefault="00932711" w:rsidP="00714644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932711" w:rsidRPr="00522A09" w:rsidRDefault="004122F8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35,2</w:t>
            </w:r>
          </w:p>
        </w:tc>
        <w:tc>
          <w:tcPr>
            <w:tcW w:w="2695" w:type="dxa"/>
            <w:vAlign w:val="center"/>
          </w:tcPr>
          <w:p w:rsidR="00932711" w:rsidRPr="00522A09" w:rsidRDefault="004122F8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27,7</w:t>
            </w:r>
          </w:p>
        </w:tc>
        <w:tc>
          <w:tcPr>
            <w:tcW w:w="3401" w:type="dxa"/>
            <w:vAlign w:val="center"/>
          </w:tcPr>
          <w:p w:rsidR="00932711" w:rsidRPr="00AB3811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711" w:rsidRPr="00AB3811" w:rsidTr="00714644">
        <w:tc>
          <w:tcPr>
            <w:tcW w:w="15735" w:type="dxa"/>
            <w:gridSpan w:val="6"/>
            <w:vAlign w:val="center"/>
          </w:tcPr>
          <w:p w:rsidR="00932711" w:rsidRPr="002906EF" w:rsidRDefault="00932711" w:rsidP="0071464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Стимулирующие налоговые расходы</w:t>
            </w: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932711" w:rsidRDefault="00932711" w:rsidP="0071464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932711" w:rsidRPr="002906EF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C690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инвесторы, являющиеся стороной инвестиционного соглашения </w:t>
            </w:r>
            <w:r w:rsidRPr="00DC690A">
              <w:rPr>
                <w:rFonts w:ascii="Times New Roman" w:hAnsi="Times New Roman" w:cs="Times New Roman"/>
              </w:rPr>
              <w:t xml:space="preserve"> (льгота в размере 100%)</w:t>
            </w:r>
          </w:p>
        </w:tc>
      </w:tr>
      <w:tr w:rsidR="00932711" w:rsidRPr="00AB3811" w:rsidTr="00714644">
        <w:tc>
          <w:tcPr>
            <w:tcW w:w="567" w:type="dxa"/>
            <w:vAlign w:val="center"/>
          </w:tcPr>
          <w:p w:rsidR="00932711" w:rsidRDefault="00932711" w:rsidP="00714644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932711" w:rsidRPr="002906EF" w:rsidRDefault="00932711" w:rsidP="00714644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932711" w:rsidRPr="00AB3811" w:rsidTr="00714644">
        <w:tc>
          <w:tcPr>
            <w:tcW w:w="15735" w:type="dxa"/>
            <w:gridSpan w:val="6"/>
            <w:vAlign w:val="center"/>
          </w:tcPr>
          <w:p w:rsidR="00932711" w:rsidRPr="002906EF" w:rsidRDefault="00932711" w:rsidP="001F45EB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Pr="00D41DF5">
              <w:rPr>
                <w:rFonts w:ascii="Times New Roman" w:hAnsi="Times New Roman" w:cs="Times New Roman"/>
                <w:color w:val="auto"/>
              </w:rPr>
              <w:t>В 202</w:t>
            </w:r>
            <w:r w:rsidR="001F45EB">
              <w:rPr>
                <w:rFonts w:ascii="Times New Roman" w:hAnsi="Times New Roman" w:cs="Times New Roman"/>
                <w:color w:val="auto"/>
              </w:rPr>
              <w:t>2</w:t>
            </w:r>
            <w:r w:rsidRPr="00D41DF5">
              <w:rPr>
                <w:rFonts w:ascii="Times New Roman" w:hAnsi="Times New Roman" w:cs="Times New Roman"/>
                <w:color w:val="auto"/>
              </w:rPr>
              <w:t xml:space="preserve"> году стимулирующая льгота по земельному налогу не предоставлялась.</w:t>
            </w:r>
          </w:p>
        </w:tc>
      </w:tr>
    </w:tbl>
    <w:p w:rsidR="00932711" w:rsidRPr="00D5372E" w:rsidRDefault="00932711" w:rsidP="00932711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Pr="00D5372E" w:rsidRDefault="00294607" w:rsidP="00932711">
      <w:pPr>
        <w:widowControl/>
        <w:jc w:val="right"/>
        <w:rPr>
          <w:color w:val="000000" w:themeColor="text1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E4" w:rsidRDefault="00040DE4" w:rsidP="00BD5DD4">
      <w:r>
        <w:separator/>
      </w:r>
    </w:p>
  </w:endnote>
  <w:endnote w:type="continuationSeparator" w:id="0">
    <w:p w:rsidR="00040DE4" w:rsidRDefault="00040DE4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E4" w:rsidRDefault="00040DE4"/>
  </w:footnote>
  <w:footnote w:type="continuationSeparator" w:id="0">
    <w:p w:rsidR="00040DE4" w:rsidRDefault="00040D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F43EBC"/>
    <w:multiLevelType w:val="hybridMultilevel"/>
    <w:tmpl w:val="9BEAD7F4"/>
    <w:lvl w:ilvl="0" w:tplc="A2EE2FD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D4"/>
    <w:rsid w:val="000006E7"/>
    <w:rsid w:val="00002CA2"/>
    <w:rsid w:val="000038B2"/>
    <w:rsid w:val="0001325E"/>
    <w:rsid w:val="0002369D"/>
    <w:rsid w:val="00023C2F"/>
    <w:rsid w:val="0003380A"/>
    <w:rsid w:val="00035D13"/>
    <w:rsid w:val="000371E3"/>
    <w:rsid w:val="0004009D"/>
    <w:rsid w:val="00040DE4"/>
    <w:rsid w:val="0004498B"/>
    <w:rsid w:val="000450AB"/>
    <w:rsid w:val="000539B0"/>
    <w:rsid w:val="0006090E"/>
    <w:rsid w:val="000676AD"/>
    <w:rsid w:val="00071525"/>
    <w:rsid w:val="00076E67"/>
    <w:rsid w:val="00090D32"/>
    <w:rsid w:val="00091F94"/>
    <w:rsid w:val="000A0773"/>
    <w:rsid w:val="000A250E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68E4"/>
    <w:rsid w:val="00122FF0"/>
    <w:rsid w:val="00144024"/>
    <w:rsid w:val="00144D7F"/>
    <w:rsid w:val="00147EFB"/>
    <w:rsid w:val="00167627"/>
    <w:rsid w:val="00167DC5"/>
    <w:rsid w:val="001711EB"/>
    <w:rsid w:val="00171241"/>
    <w:rsid w:val="00172856"/>
    <w:rsid w:val="001771F6"/>
    <w:rsid w:val="00180A63"/>
    <w:rsid w:val="00181BEC"/>
    <w:rsid w:val="0018666A"/>
    <w:rsid w:val="00190680"/>
    <w:rsid w:val="00190A99"/>
    <w:rsid w:val="0019301C"/>
    <w:rsid w:val="0019582F"/>
    <w:rsid w:val="00196F22"/>
    <w:rsid w:val="001A1B66"/>
    <w:rsid w:val="001A409C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1F1022"/>
    <w:rsid w:val="001F45EB"/>
    <w:rsid w:val="00200426"/>
    <w:rsid w:val="00203220"/>
    <w:rsid w:val="00203855"/>
    <w:rsid w:val="00205781"/>
    <w:rsid w:val="00215FC4"/>
    <w:rsid w:val="002203A0"/>
    <w:rsid w:val="00220EEF"/>
    <w:rsid w:val="00230DCD"/>
    <w:rsid w:val="002310B6"/>
    <w:rsid w:val="00235E03"/>
    <w:rsid w:val="0023642A"/>
    <w:rsid w:val="00237C49"/>
    <w:rsid w:val="002410BD"/>
    <w:rsid w:val="00247906"/>
    <w:rsid w:val="00257AAF"/>
    <w:rsid w:val="00264C04"/>
    <w:rsid w:val="00265BC6"/>
    <w:rsid w:val="00272F02"/>
    <w:rsid w:val="00273A5B"/>
    <w:rsid w:val="00282C5D"/>
    <w:rsid w:val="00284A4A"/>
    <w:rsid w:val="002906EF"/>
    <w:rsid w:val="0029174A"/>
    <w:rsid w:val="00294607"/>
    <w:rsid w:val="002A4DF0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F6CF0"/>
    <w:rsid w:val="003014EF"/>
    <w:rsid w:val="0030469E"/>
    <w:rsid w:val="00311A50"/>
    <w:rsid w:val="00313408"/>
    <w:rsid w:val="003154FE"/>
    <w:rsid w:val="00323158"/>
    <w:rsid w:val="00324BD1"/>
    <w:rsid w:val="0034665B"/>
    <w:rsid w:val="00355C9C"/>
    <w:rsid w:val="00356312"/>
    <w:rsid w:val="0036117B"/>
    <w:rsid w:val="00361A5F"/>
    <w:rsid w:val="00362371"/>
    <w:rsid w:val="00366FBB"/>
    <w:rsid w:val="00367BE1"/>
    <w:rsid w:val="00384357"/>
    <w:rsid w:val="003847FF"/>
    <w:rsid w:val="00392CEA"/>
    <w:rsid w:val="00394F75"/>
    <w:rsid w:val="003B1187"/>
    <w:rsid w:val="003B56E0"/>
    <w:rsid w:val="003C2804"/>
    <w:rsid w:val="003C2E27"/>
    <w:rsid w:val="003C529E"/>
    <w:rsid w:val="003D1F69"/>
    <w:rsid w:val="003D49C6"/>
    <w:rsid w:val="003D6054"/>
    <w:rsid w:val="003E00FE"/>
    <w:rsid w:val="003E09AF"/>
    <w:rsid w:val="003F1CE9"/>
    <w:rsid w:val="0040757A"/>
    <w:rsid w:val="00411314"/>
    <w:rsid w:val="004122F8"/>
    <w:rsid w:val="00412CD7"/>
    <w:rsid w:val="00417399"/>
    <w:rsid w:val="0042359C"/>
    <w:rsid w:val="00423D94"/>
    <w:rsid w:val="00424DDC"/>
    <w:rsid w:val="00425BF9"/>
    <w:rsid w:val="0043225F"/>
    <w:rsid w:val="004508EF"/>
    <w:rsid w:val="00450C21"/>
    <w:rsid w:val="00452CF9"/>
    <w:rsid w:val="00453BCC"/>
    <w:rsid w:val="00456F83"/>
    <w:rsid w:val="004653C5"/>
    <w:rsid w:val="004721F0"/>
    <w:rsid w:val="00487F92"/>
    <w:rsid w:val="00491402"/>
    <w:rsid w:val="0049381D"/>
    <w:rsid w:val="004A417F"/>
    <w:rsid w:val="004A5288"/>
    <w:rsid w:val="004B3E7D"/>
    <w:rsid w:val="004B6543"/>
    <w:rsid w:val="004B6946"/>
    <w:rsid w:val="004C16AF"/>
    <w:rsid w:val="004C35A4"/>
    <w:rsid w:val="004C3F66"/>
    <w:rsid w:val="004C504D"/>
    <w:rsid w:val="004C5C9E"/>
    <w:rsid w:val="004D23AF"/>
    <w:rsid w:val="004D3A22"/>
    <w:rsid w:val="004D6090"/>
    <w:rsid w:val="004E1B96"/>
    <w:rsid w:val="004E2B24"/>
    <w:rsid w:val="004E46D7"/>
    <w:rsid w:val="004F053B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3027E"/>
    <w:rsid w:val="005447D7"/>
    <w:rsid w:val="00547454"/>
    <w:rsid w:val="00557CEB"/>
    <w:rsid w:val="00564ECA"/>
    <w:rsid w:val="00580A28"/>
    <w:rsid w:val="0058109D"/>
    <w:rsid w:val="00582803"/>
    <w:rsid w:val="00584EB9"/>
    <w:rsid w:val="00585454"/>
    <w:rsid w:val="00587424"/>
    <w:rsid w:val="00587AA5"/>
    <w:rsid w:val="00591432"/>
    <w:rsid w:val="005922B9"/>
    <w:rsid w:val="00593F4B"/>
    <w:rsid w:val="00595A48"/>
    <w:rsid w:val="005963F8"/>
    <w:rsid w:val="00596AE6"/>
    <w:rsid w:val="005A0E29"/>
    <w:rsid w:val="005A15BC"/>
    <w:rsid w:val="005B6DD3"/>
    <w:rsid w:val="005C02A6"/>
    <w:rsid w:val="005C17A1"/>
    <w:rsid w:val="005C7D60"/>
    <w:rsid w:val="005D12C7"/>
    <w:rsid w:val="005D1D5A"/>
    <w:rsid w:val="005D4926"/>
    <w:rsid w:val="005E1924"/>
    <w:rsid w:val="005E3AFC"/>
    <w:rsid w:val="005E76CB"/>
    <w:rsid w:val="005F2591"/>
    <w:rsid w:val="005F70A0"/>
    <w:rsid w:val="006010BC"/>
    <w:rsid w:val="00611F27"/>
    <w:rsid w:val="00620274"/>
    <w:rsid w:val="00621179"/>
    <w:rsid w:val="0062279A"/>
    <w:rsid w:val="00623765"/>
    <w:rsid w:val="00632ECA"/>
    <w:rsid w:val="006421F9"/>
    <w:rsid w:val="0064312D"/>
    <w:rsid w:val="00643BF9"/>
    <w:rsid w:val="0064510A"/>
    <w:rsid w:val="00645F56"/>
    <w:rsid w:val="006510B7"/>
    <w:rsid w:val="006554DA"/>
    <w:rsid w:val="00661D09"/>
    <w:rsid w:val="00663C72"/>
    <w:rsid w:val="006674F9"/>
    <w:rsid w:val="00667501"/>
    <w:rsid w:val="006742D0"/>
    <w:rsid w:val="0067495B"/>
    <w:rsid w:val="00676D10"/>
    <w:rsid w:val="00683757"/>
    <w:rsid w:val="006862F0"/>
    <w:rsid w:val="006A0EE2"/>
    <w:rsid w:val="006A6809"/>
    <w:rsid w:val="006C4DC7"/>
    <w:rsid w:val="006D3655"/>
    <w:rsid w:val="006D63C3"/>
    <w:rsid w:val="006D6A03"/>
    <w:rsid w:val="006E0605"/>
    <w:rsid w:val="006E22D8"/>
    <w:rsid w:val="006E3618"/>
    <w:rsid w:val="006E63F2"/>
    <w:rsid w:val="006F1B6D"/>
    <w:rsid w:val="00701A57"/>
    <w:rsid w:val="00701E6E"/>
    <w:rsid w:val="00703B44"/>
    <w:rsid w:val="00703B81"/>
    <w:rsid w:val="0070651A"/>
    <w:rsid w:val="00713DB6"/>
    <w:rsid w:val="00741F0C"/>
    <w:rsid w:val="00745D76"/>
    <w:rsid w:val="00750900"/>
    <w:rsid w:val="007549FF"/>
    <w:rsid w:val="00754E84"/>
    <w:rsid w:val="007632F6"/>
    <w:rsid w:val="00767D1C"/>
    <w:rsid w:val="00774ECC"/>
    <w:rsid w:val="00776C3D"/>
    <w:rsid w:val="00785684"/>
    <w:rsid w:val="00795A13"/>
    <w:rsid w:val="00797B53"/>
    <w:rsid w:val="007A0421"/>
    <w:rsid w:val="007B42C9"/>
    <w:rsid w:val="007B5832"/>
    <w:rsid w:val="007C0AE7"/>
    <w:rsid w:val="007C14E2"/>
    <w:rsid w:val="007D1D38"/>
    <w:rsid w:val="007D4DEC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43C9"/>
    <w:rsid w:val="0086170A"/>
    <w:rsid w:val="00870C13"/>
    <w:rsid w:val="00875886"/>
    <w:rsid w:val="00876B38"/>
    <w:rsid w:val="00884D20"/>
    <w:rsid w:val="00884D52"/>
    <w:rsid w:val="00891D44"/>
    <w:rsid w:val="00894D99"/>
    <w:rsid w:val="00897AE0"/>
    <w:rsid w:val="008A1942"/>
    <w:rsid w:val="008A58BD"/>
    <w:rsid w:val="008A6542"/>
    <w:rsid w:val="008A6695"/>
    <w:rsid w:val="008A7D07"/>
    <w:rsid w:val="008A7D35"/>
    <w:rsid w:val="008B67EA"/>
    <w:rsid w:val="008C2002"/>
    <w:rsid w:val="008C4910"/>
    <w:rsid w:val="008C673C"/>
    <w:rsid w:val="008C6DB9"/>
    <w:rsid w:val="008D15CA"/>
    <w:rsid w:val="008D2800"/>
    <w:rsid w:val="008D76A5"/>
    <w:rsid w:val="008E29AA"/>
    <w:rsid w:val="008F1D4A"/>
    <w:rsid w:val="00902FAB"/>
    <w:rsid w:val="00927CAA"/>
    <w:rsid w:val="00931836"/>
    <w:rsid w:val="00932711"/>
    <w:rsid w:val="00933D4E"/>
    <w:rsid w:val="00946716"/>
    <w:rsid w:val="00947A6D"/>
    <w:rsid w:val="0095058E"/>
    <w:rsid w:val="009648C9"/>
    <w:rsid w:val="009729B8"/>
    <w:rsid w:val="009742A3"/>
    <w:rsid w:val="00982900"/>
    <w:rsid w:val="00983BBA"/>
    <w:rsid w:val="00997E5F"/>
    <w:rsid w:val="009A15C0"/>
    <w:rsid w:val="009A78FF"/>
    <w:rsid w:val="009B6478"/>
    <w:rsid w:val="009C07F4"/>
    <w:rsid w:val="009C0A68"/>
    <w:rsid w:val="009C1EB3"/>
    <w:rsid w:val="009C495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E7F8C"/>
    <w:rsid w:val="009F0BC9"/>
    <w:rsid w:val="009F0C56"/>
    <w:rsid w:val="009F11CF"/>
    <w:rsid w:val="009F4174"/>
    <w:rsid w:val="009F5D59"/>
    <w:rsid w:val="009F7249"/>
    <w:rsid w:val="00A033D5"/>
    <w:rsid w:val="00A05D6A"/>
    <w:rsid w:val="00A07459"/>
    <w:rsid w:val="00A16E5B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80B37"/>
    <w:rsid w:val="00A959DC"/>
    <w:rsid w:val="00AA457C"/>
    <w:rsid w:val="00AB26AC"/>
    <w:rsid w:val="00AB7613"/>
    <w:rsid w:val="00AC046F"/>
    <w:rsid w:val="00AD3D9A"/>
    <w:rsid w:val="00AE1FC8"/>
    <w:rsid w:val="00AE2996"/>
    <w:rsid w:val="00AE6F90"/>
    <w:rsid w:val="00AF04BF"/>
    <w:rsid w:val="00AF0AEC"/>
    <w:rsid w:val="00AF4B04"/>
    <w:rsid w:val="00B00F50"/>
    <w:rsid w:val="00B029CA"/>
    <w:rsid w:val="00B11188"/>
    <w:rsid w:val="00B20A2A"/>
    <w:rsid w:val="00B21C6F"/>
    <w:rsid w:val="00B23058"/>
    <w:rsid w:val="00B27A61"/>
    <w:rsid w:val="00B33F5E"/>
    <w:rsid w:val="00B351B6"/>
    <w:rsid w:val="00B41E61"/>
    <w:rsid w:val="00B44670"/>
    <w:rsid w:val="00B542F6"/>
    <w:rsid w:val="00B67A40"/>
    <w:rsid w:val="00B74B5B"/>
    <w:rsid w:val="00B82898"/>
    <w:rsid w:val="00B82F0C"/>
    <w:rsid w:val="00B8319F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C33E5"/>
    <w:rsid w:val="00BD571F"/>
    <w:rsid w:val="00BD5DD4"/>
    <w:rsid w:val="00BD608D"/>
    <w:rsid w:val="00BD6DD2"/>
    <w:rsid w:val="00BE6DE8"/>
    <w:rsid w:val="00BF27D0"/>
    <w:rsid w:val="00C11354"/>
    <w:rsid w:val="00C2566F"/>
    <w:rsid w:val="00C30169"/>
    <w:rsid w:val="00C4382E"/>
    <w:rsid w:val="00C52983"/>
    <w:rsid w:val="00C53C2F"/>
    <w:rsid w:val="00C62E85"/>
    <w:rsid w:val="00C70CD9"/>
    <w:rsid w:val="00C739A4"/>
    <w:rsid w:val="00C73F0A"/>
    <w:rsid w:val="00C75515"/>
    <w:rsid w:val="00C807E8"/>
    <w:rsid w:val="00C8366D"/>
    <w:rsid w:val="00C94931"/>
    <w:rsid w:val="00CB0B60"/>
    <w:rsid w:val="00CB101D"/>
    <w:rsid w:val="00CB19F2"/>
    <w:rsid w:val="00CB1D1A"/>
    <w:rsid w:val="00CB3234"/>
    <w:rsid w:val="00CC2BCC"/>
    <w:rsid w:val="00CC57A1"/>
    <w:rsid w:val="00CD4C04"/>
    <w:rsid w:val="00CD5AAC"/>
    <w:rsid w:val="00CD690B"/>
    <w:rsid w:val="00CE7347"/>
    <w:rsid w:val="00CF067F"/>
    <w:rsid w:val="00CF1D8C"/>
    <w:rsid w:val="00CF2FAB"/>
    <w:rsid w:val="00CF7500"/>
    <w:rsid w:val="00D0691E"/>
    <w:rsid w:val="00D11211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2149"/>
    <w:rsid w:val="00D73A2D"/>
    <w:rsid w:val="00D7442A"/>
    <w:rsid w:val="00DA0FC9"/>
    <w:rsid w:val="00DA1134"/>
    <w:rsid w:val="00DB0AD4"/>
    <w:rsid w:val="00DB4C1E"/>
    <w:rsid w:val="00DB4DD9"/>
    <w:rsid w:val="00DB7ECB"/>
    <w:rsid w:val="00DC7E57"/>
    <w:rsid w:val="00DD2469"/>
    <w:rsid w:val="00DE5D5C"/>
    <w:rsid w:val="00DE723A"/>
    <w:rsid w:val="00DE74F9"/>
    <w:rsid w:val="00DF784D"/>
    <w:rsid w:val="00E004FF"/>
    <w:rsid w:val="00E07AEA"/>
    <w:rsid w:val="00E1285E"/>
    <w:rsid w:val="00E14301"/>
    <w:rsid w:val="00E14A2D"/>
    <w:rsid w:val="00E24835"/>
    <w:rsid w:val="00E26CC8"/>
    <w:rsid w:val="00E27570"/>
    <w:rsid w:val="00E369A8"/>
    <w:rsid w:val="00E36E60"/>
    <w:rsid w:val="00E42B63"/>
    <w:rsid w:val="00E43717"/>
    <w:rsid w:val="00E4589C"/>
    <w:rsid w:val="00E511E9"/>
    <w:rsid w:val="00E51396"/>
    <w:rsid w:val="00E56484"/>
    <w:rsid w:val="00E60567"/>
    <w:rsid w:val="00E62300"/>
    <w:rsid w:val="00E7155B"/>
    <w:rsid w:val="00E741A1"/>
    <w:rsid w:val="00E94834"/>
    <w:rsid w:val="00EA0FA4"/>
    <w:rsid w:val="00EA5CF8"/>
    <w:rsid w:val="00EA62D9"/>
    <w:rsid w:val="00EB2808"/>
    <w:rsid w:val="00EB480D"/>
    <w:rsid w:val="00EB702D"/>
    <w:rsid w:val="00ED0722"/>
    <w:rsid w:val="00ED2624"/>
    <w:rsid w:val="00ED662E"/>
    <w:rsid w:val="00EE2450"/>
    <w:rsid w:val="00EE6682"/>
    <w:rsid w:val="00EE6767"/>
    <w:rsid w:val="00F04603"/>
    <w:rsid w:val="00F061D7"/>
    <w:rsid w:val="00F16761"/>
    <w:rsid w:val="00F16E8D"/>
    <w:rsid w:val="00F21D89"/>
    <w:rsid w:val="00F24A3D"/>
    <w:rsid w:val="00F316CA"/>
    <w:rsid w:val="00F32DB7"/>
    <w:rsid w:val="00F34920"/>
    <w:rsid w:val="00F359BC"/>
    <w:rsid w:val="00F440F0"/>
    <w:rsid w:val="00F53396"/>
    <w:rsid w:val="00F579B9"/>
    <w:rsid w:val="00F608DA"/>
    <w:rsid w:val="00F61A67"/>
    <w:rsid w:val="00F64E52"/>
    <w:rsid w:val="00F658C3"/>
    <w:rsid w:val="00F6724A"/>
    <w:rsid w:val="00F70A45"/>
    <w:rsid w:val="00F743A4"/>
    <w:rsid w:val="00F7660E"/>
    <w:rsid w:val="00F81C3B"/>
    <w:rsid w:val="00F913CE"/>
    <w:rsid w:val="00F936E9"/>
    <w:rsid w:val="00F93F78"/>
    <w:rsid w:val="00F94C1E"/>
    <w:rsid w:val="00F97F00"/>
    <w:rsid w:val="00FA00AD"/>
    <w:rsid w:val="00FA1449"/>
    <w:rsid w:val="00FC2DFC"/>
    <w:rsid w:val="00FD229B"/>
    <w:rsid w:val="00FD7958"/>
    <w:rsid w:val="00FE70AD"/>
    <w:rsid w:val="00FF1F0A"/>
    <w:rsid w:val="00FF3835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FC484-7A57-4FA6-9B1C-4B262A9B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9AEA-6435-48F7-83E4-DDE9B467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Iacer</cp:lastModifiedBy>
  <cp:revision>2</cp:revision>
  <cp:lastPrinted>2023-09-13T06:14:00Z</cp:lastPrinted>
  <dcterms:created xsi:type="dcterms:W3CDTF">2023-10-06T08:20:00Z</dcterms:created>
  <dcterms:modified xsi:type="dcterms:W3CDTF">2023-10-06T08:20:00Z</dcterms:modified>
</cp:coreProperties>
</file>